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AD" w:rsidRDefault="00BA1ADB" w:rsidP="006053C9">
      <w:pPr>
        <w:tabs>
          <w:tab w:val="left" w:pos="540"/>
          <w:tab w:val="right" w:leader="dot" w:pos="9360"/>
        </w:tabs>
        <w:spacing w:after="240" w:line="240" w:lineRule="auto"/>
        <w:rPr>
          <w:b/>
          <w:sz w:val="36"/>
          <w:szCs w:val="40"/>
        </w:rPr>
      </w:pPr>
      <w:r>
        <w:rPr>
          <w:noProof/>
          <w:sz w:val="20"/>
        </w:rPr>
        <w:drawing>
          <wp:anchor distT="0" distB="0" distL="114300" distR="114300" simplePos="0" relativeHeight="251664384" behindDoc="0" locked="0" layoutInCell="1" allowOverlap="1">
            <wp:simplePos x="0" y="0"/>
            <wp:positionH relativeFrom="column">
              <wp:posOffset>6589395</wp:posOffset>
            </wp:positionH>
            <wp:positionV relativeFrom="paragraph">
              <wp:posOffset>-267595</wp:posOffset>
            </wp:positionV>
            <wp:extent cx="402336"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Crest_g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336" cy="640080"/>
                    </a:xfrm>
                    <a:prstGeom prst="rect">
                      <a:avLst/>
                    </a:prstGeom>
                  </pic:spPr>
                </pic:pic>
              </a:graphicData>
            </a:graphic>
            <wp14:sizeRelH relativeFrom="page">
              <wp14:pctWidth>0</wp14:pctWidth>
            </wp14:sizeRelH>
            <wp14:sizeRelV relativeFrom="page">
              <wp14:pctHeight>0</wp14:pctHeight>
            </wp14:sizeRelV>
          </wp:anchor>
        </w:drawing>
      </w:r>
      <w:r w:rsidR="00E10222">
        <w:rPr>
          <w:b/>
          <w:noProof/>
        </w:rPr>
        <mc:AlternateContent>
          <mc:Choice Requires="wps">
            <w:drawing>
              <wp:anchor distT="0" distB="0" distL="114300" distR="114300" simplePos="0" relativeHeight="251661312" behindDoc="1" locked="0" layoutInCell="1" allowOverlap="1" wp14:anchorId="05D86572" wp14:editId="59B86788">
                <wp:simplePos x="0" y="0"/>
                <wp:positionH relativeFrom="column">
                  <wp:posOffset>-57150</wp:posOffset>
                </wp:positionH>
                <wp:positionV relativeFrom="paragraph">
                  <wp:posOffset>0</wp:posOffset>
                </wp:positionV>
                <wp:extent cx="6619875" cy="299720"/>
                <wp:effectExtent l="0" t="0" r="9525" b="5080"/>
                <wp:wrapNone/>
                <wp:docPr id="6" name="Rectangle 6"/>
                <wp:cNvGraphicFramePr/>
                <a:graphic xmlns:a="http://schemas.openxmlformats.org/drawingml/2006/main">
                  <a:graphicData uri="http://schemas.microsoft.com/office/word/2010/wordprocessingShape">
                    <wps:wsp>
                      <wps:cNvSpPr/>
                      <wps:spPr>
                        <a:xfrm>
                          <a:off x="0" y="0"/>
                          <a:ext cx="6619875" cy="299720"/>
                        </a:xfrm>
                        <a:prstGeom prst="rect">
                          <a:avLst/>
                        </a:prstGeom>
                        <a:gradFill flip="none" rotWithShape="1">
                          <a:gsLst>
                            <a:gs pos="0">
                              <a:schemeClr val="bg1">
                                <a:lumMod val="75000"/>
                              </a:schemeClr>
                            </a:gs>
                            <a:gs pos="50000">
                              <a:schemeClr val="bg1">
                                <a:shade val="67500"/>
                                <a:satMod val="115000"/>
                              </a:schemeClr>
                            </a:gs>
                            <a:gs pos="100000">
                              <a:schemeClr val="bg1">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3432D" id="Rectangle 6" o:spid="_x0000_s1026" style="position:absolute;margin-left:-4.5pt;margin-top:0;width:521.25pt;height:2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" fillcolor="#bfbfbf [2412]" stroked="f" strokeweight="2pt">
                <v:fill color2="white [3212]" rotate="t" angle="90" colors="0 #bfbfbf;.5 #d6d6d6;1 white" focus="100%" type="gradient"/>
              </v:rect>
            </w:pict>
          </mc:Fallback>
        </mc:AlternateContent>
      </w:r>
      <w:r w:rsidR="0033557E">
        <w:rPr>
          <w:b/>
          <w:sz w:val="36"/>
          <w:szCs w:val="40"/>
        </w:rPr>
        <w:t>Fair Labor Standards Act</w:t>
      </w:r>
      <w:r w:rsidR="003F57AD">
        <w:rPr>
          <w:b/>
          <w:sz w:val="36"/>
          <w:szCs w:val="40"/>
        </w:rPr>
        <w:t>– Ca</w:t>
      </w:r>
      <w:r w:rsidR="0033557E">
        <w:rPr>
          <w:b/>
          <w:sz w:val="36"/>
          <w:szCs w:val="40"/>
        </w:rPr>
        <w:t>mp Counselors</w:t>
      </w:r>
    </w:p>
    <w:p w:rsidR="00D138AA" w:rsidRDefault="00D138AA" w:rsidP="003F57AD"/>
    <w:p w:rsidR="00C8175B" w:rsidRDefault="00C8175B" w:rsidP="00C8175B">
      <w:r w:rsidRPr="00C8175B">
        <w:t xml:space="preserve">Section 13(a)(3) </w:t>
      </w:r>
      <w:r w:rsidR="00015A1C">
        <w:t xml:space="preserve">of the Fair Labor Standards Act </w:t>
      </w:r>
      <w:r w:rsidRPr="00C8175B">
        <w:t>provides an exemption from the minimum wage and overtime</w:t>
      </w:r>
      <w:r>
        <w:t xml:space="preserve"> </w:t>
      </w:r>
      <w:r w:rsidRPr="00C8175B">
        <w:t xml:space="preserve">provisions of the FLSA for </w:t>
      </w:r>
      <w:r w:rsidR="00913967" w:rsidRPr="00913967">
        <w:t>"any employee employed by an establishment which is an amusement or recreational establishment, if (A) it does not operate for more than seven months in any calendar year, or (B) during the preceding calendar year, its average receipts for any six months of such year were not more than 33-1/3 per centum of its average receipts for the other six months of such year."</w:t>
      </w:r>
      <w:r w:rsidRPr="00C8175B">
        <w:t xml:space="preserve"> </w:t>
      </w:r>
    </w:p>
    <w:p w:rsidR="002561B3" w:rsidRDefault="002561B3" w:rsidP="00C8175B">
      <w:r>
        <w:t xml:space="preserve">In order to be exempt under Section 13(a)(3), </w:t>
      </w:r>
      <w:r w:rsidR="00015A1C">
        <w:t xml:space="preserve">the position in the camp must be the </w:t>
      </w:r>
      <w:r w:rsidR="00015A1C" w:rsidRPr="00015A1C">
        <w:rPr>
          <w:u w:val="single"/>
        </w:rPr>
        <w:t>only</w:t>
      </w:r>
      <w:r w:rsidR="00015A1C">
        <w:t xml:space="preserve"> UW-Madison employment the employee has during the camp’s operation. If a current UW-Madison employee wishes to work at the camp, they must take a leave from their current position in order for the exemption to apply.</w:t>
      </w:r>
    </w:p>
    <w:p w:rsidR="00015A1C" w:rsidRDefault="00015A1C" w:rsidP="00C8175B">
      <w:r>
        <w:t xml:space="preserve">The State Department of Workforce Development provides additional guidance in </w:t>
      </w:r>
      <w:hyperlink r:id="rId9" w:history="1">
        <w:r w:rsidRPr="003700A6">
          <w:rPr>
            <w:rStyle w:val="Hyperlink"/>
          </w:rPr>
          <w:t>DWD 272.07</w:t>
        </w:r>
        <w:r w:rsidR="003700A6" w:rsidRPr="003700A6">
          <w:rPr>
            <w:rStyle w:val="Hyperlink"/>
          </w:rPr>
          <w:t>(3) &amp; DWD 272.07(5)</w:t>
        </w:r>
      </w:hyperlink>
      <w:r>
        <w:t xml:space="preserve"> prescribing minimum wage amounts</w:t>
      </w:r>
      <w:r w:rsidR="003700A6">
        <w:t xml:space="preserve"> for counselors:</w:t>
      </w:r>
    </w:p>
    <w:p w:rsidR="003700A6" w:rsidRPr="003700A6" w:rsidRDefault="003700A6" w:rsidP="003700A6">
      <w:pPr>
        <w:ind w:left="720"/>
      </w:pPr>
      <w:r>
        <w:rPr>
          <w:b/>
          <w:bCs/>
        </w:rPr>
        <w:t>“</w:t>
      </w:r>
      <w:r w:rsidRPr="003700A6">
        <w:rPr>
          <w:b/>
          <w:bCs/>
        </w:rPr>
        <w:t>(3)</w:t>
      </w:r>
      <w:r w:rsidRPr="003700A6">
        <w:t> </w:t>
      </w:r>
      <w:r w:rsidRPr="003700A6">
        <w:t xml:space="preserve">Counselors. This subsection is effective on </w:t>
      </w:r>
      <w:smartTag w:uri="urn:schemas-microsoft-com:office:smarttags" w:element="date">
        <w:smartTagPr>
          <w:attr w:name="Year" w:val="2009"/>
          <w:attr w:name="Day" w:val="24"/>
          <w:attr w:name="Month" w:val="7"/>
        </w:smartTagPr>
        <w:r w:rsidRPr="003700A6">
          <w:t>July 24, 2009</w:t>
        </w:r>
      </w:smartTag>
      <w:r w:rsidRPr="003700A6">
        <w:t xml:space="preserve">. The minimum wage of counselors employed in seasonal recreational or educational camps and day camps may be computed on a weekly basis as follows: </w:t>
      </w:r>
    </w:p>
    <w:p w:rsidR="003700A6" w:rsidRDefault="00E40893" w:rsidP="003700A6">
      <w:pPr>
        <w:ind w:firstLine="720"/>
      </w:pPr>
      <w:hyperlink r:id="rId10" w:history="1">
        <w:r w:rsidR="003700A6" w:rsidRPr="003700A6">
          <w:rPr>
            <w:rStyle w:val="Hyperlink"/>
            <w:vanish/>
          </w:rPr>
          <w:t>DWD 272.07(3)(a)</w:t>
        </w:r>
      </w:hyperlink>
      <w:r w:rsidR="003700A6" w:rsidRPr="003700A6">
        <w:rPr>
          <w:b/>
          <w:bCs/>
        </w:rPr>
        <w:t xml:space="preserve"> (a)</w:t>
      </w:r>
      <w:r w:rsidR="003700A6" w:rsidRPr="003700A6">
        <w:t xml:space="preserve"> Adult counselors 18 years of age and over: </w:t>
      </w:r>
    </w:p>
    <w:p w:rsidR="003700A6" w:rsidRDefault="003700A6" w:rsidP="003700A6">
      <w:pPr>
        <w:ind w:left="720"/>
      </w:pPr>
      <w:r w:rsidRPr="003700A6">
        <w:t xml:space="preserve">PER WEEK </w:t>
      </w:r>
    </w:p>
    <w:p w:rsidR="003700A6" w:rsidRDefault="00E40893" w:rsidP="003700A6">
      <w:pPr>
        <w:ind w:left="720"/>
      </w:pPr>
      <w:hyperlink r:id="rId11" w:history="1">
        <w:r w:rsidR="003700A6" w:rsidRPr="003700A6">
          <w:rPr>
            <w:rStyle w:val="Hyperlink"/>
            <w:vanish/>
          </w:rPr>
          <w:t>DWD 272.07(3)(a)1.</w:t>
        </w:r>
      </w:hyperlink>
      <w:r w:rsidR="003700A6" w:rsidRPr="003700A6">
        <w:rPr>
          <w:b/>
          <w:bCs/>
        </w:rPr>
        <w:t xml:space="preserve"> 1.</w:t>
      </w:r>
      <w:r w:rsidR="003700A6" w:rsidRPr="003700A6">
        <w:t xml:space="preserve"> If board and lodging are not furnished$350.00 </w:t>
      </w:r>
    </w:p>
    <w:p w:rsidR="003700A6" w:rsidRDefault="00E40893" w:rsidP="003700A6">
      <w:pPr>
        <w:ind w:left="720"/>
      </w:pPr>
      <w:hyperlink r:id="rId12" w:history="1">
        <w:r w:rsidR="003700A6" w:rsidRPr="003700A6">
          <w:rPr>
            <w:rStyle w:val="Hyperlink"/>
            <w:vanish/>
          </w:rPr>
          <w:t>DWD 272.07(3)(a)2.</w:t>
        </w:r>
      </w:hyperlink>
      <w:r w:rsidR="003700A6" w:rsidRPr="003700A6">
        <w:rPr>
          <w:b/>
          <w:bCs/>
        </w:rPr>
        <w:t xml:space="preserve"> 2.</w:t>
      </w:r>
      <w:r w:rsidR="003700A6" w:rsidRPr="003700A6">
        <w:t xml:space="preserve"> If board only is furnished$265.00</w:t>
      </w:r>
    </w:p>
    <w:p w:rsidR="003700A6" w:rsidRDefault="00E40893" w:rsidP="003700A6">
      <w:pPr>
        <w:ind w:left="720"/>
      </w:pPr>
      <w:hyperlink r:id="rId13" w:history="1">
        <w:r w:rsidR="003700A6" w:rsidRPr="003700A6">
          <w:rPr>
            <w:rStyle w:val="Hyperlink"/>
            <w:vanish/>
            <w:u w:val="none"/>
          </w:rPr>
          <w:t>DWD 272.07(3)(a)3.</w:t>
        </w:r>
      </w:hyperlink>
      <w:r w:rsidR="003700A6" w:rsidRPr="003700A6">
        <w:rPr>
          <w:bCs/>
        </w:rPr>
        <w:t xml:space="preserve"> 3.</w:t>
      </w:r>
      <w:r w:rsidR="003700A6" w:rsidRPr="003700A6">
        <w:t xml:space="preserve"> If board and lodging are furnished$210.00 </w:t>
      </w:r>
    </w:p>
    <w:p w:rsidR="003700A6" w:rsidRDefault="00E40893" w:rsidP="003700A6">
      <w:pPr>
        <w:ind w:left="720"/>
      </w:pPr>
      <w:hyperlink r:id="rId14" w:history="1">
        <w:r w:rsidR="003700A6" w:rsidRPr="003700A6">
          <w:rPr>
            <w:rStyle w:val="Hyperlink"/>
            <w:vanish/>
          </w:rPr>
          <w:t>DWD 272.07(3)(b)</w:t>
        </w:r>
      </w:hyperlink>
      <w:r w:rsidR="003700A6" w:rsidRPr="003700A6">
        <w:rPr>
          <w:b/>
          <w:bCs/>
        </w:rPr>
        <w:t xml:space="preserve"> (b)</w:t>
      </w:r>
      <w:r w:rsidR="003700A6" w:rsidRPr="003700A6">
        <w:t xml:space="preserve"> Counselors 17 years of age and under: </w:t>
      </w:r>
    </w:p>
    <w:p w:rsidR="003700A6" w:rsidRDefault="003700A6" w:rsidP="003700A6">
      <w:pPr>
        <w:ind w:left="720"/>
      </w:pPr>
      <w:r w:rsidRPr="003700A6">
        <w:t xml:space="preserve">PER WEEK </w:t>
      </w:r>
    </w:p>
    <w:p w:rsidR="003700A6" w:rsidRDefault="00E40893" w:rsidP="003700A6">
      <w:pPr>
        <w:ind w:left="720"/>
      </w:pPr>
      <w:hyperlink r:id="rId15" w:history="1">
        <w:r w:rsidR="003700A6" w:rsidRPr="003700A6">
          <w:rPr>
            <w:rStyle w:val="Hyperlink"/>
            <w:vanish/>
          </w:rPr>
          <w:t>DWD 272.07(3)(b)1.</w:t>
        </w:r>
      </w:hyperlink>
      <w:r w:rsidR="003700A6" w:rsidRPr="003700A6">
        <w:rPr>
          <w:b/>
          <w:bCs/>
        </w:rPr>
        <w:t xml:space="preserve"> 1.</w:t>
      </w:r>
      <w:r w:rsidR="003700A6" w:rsidRPr="003700A6">
        <w:t xml:space="preserve"> If board and lodging are not furnished$350.00 </w:t>
      </w:r>
    </w:p>
    <w:p w:rsidR="003700A6" w:rsidRDefault="00E40893" w:rsidP="003700A6">
      <w:pPr>
        <w:ind w:left="720"/>
      </w:pPr>
      <w:hyperlink r:id="rId16" w:history="1">
        <w:r w:rsidR="003700A6" w:rsidRPr="003700A6">
          <w:rPr>
            <w:rStyle w:val="Hyperlink"/>
            <w:vanish/>
          </w:rPr>
          <w:t>DWD 272.07(3)(b)2.</w:t>
        </w:r>
      </w:hyperlink>
      <w:r w:rsidR="003700A6" w:rsidRPr="003700A6">
        <w:rPr>
          <w:b/>
          <w:bCs/>
        </w:rPr>
        <w:t xml:space="preserve"> 2.</w:t>
      </w:r>
      <w:r w:rsidR="003700A6" w:rsidRPr="003700A6">
        <w:t xml:space="preserve"> If board only is furnished$265.00 </w:t>
      </w:r>
    </w:p>
    <w:p w:rsidR="003700A6" w:rsidRDefault="00E40893" w:rsidP="003700A6">
      <w:pPr>
        <w:ind w:left="720"/>
      </w:pPr>
      <w:hyperlink r:id="rId17" w:history="1">
        <w:r w:rsidR="003700A6" w:rsidRPr="003700A6">
          <w:rPr>
            <w:rStyle w:val="Hyperlink"/>
            <w:vanish/>
            <w:u w:val="none"/>
          </w:rPr>
          <w:t>DWD 272.07(3)(b)3.</w:t>
        </w:r>
      </w:hyperlink>
      <w:r w:rsidR="003700A6" w:rsidRPr="003700A6">
        <w:rPr>
          <w:bCs/>
        </w:rPr>
        <w:t xml:space="preserve"> 3.</w:t>
      </w:r>
      <w:r w:rsidR="003700A6" w:rsidRPr="003700A6">
        <w:t xml:space="preserve"> If board and lodging are furnished$210.00 </w:t>
      </w:r>
    </w:p>
    <w:p w:rsidR="003700A6" w:rsidRPr="003700A6" w:rsidRDefault="003700A6" w:rsidP="003700A6">
      <w:pPr>
        <w:ind w:firstLine="720"/>
      </w:pPr>
      <w:r w:rsidRPr="003700A6">
        <w:rPr>
          <w:b/>
          <w:bCs/>
        </w:rPr>
        <w:t>(5)</w:t>
      </w:r>
      <w:r w:rsidRPr="003700A6">
        <w:t> </w:t>
      </w:r>
      <w:r w:rsidRPr="003700A6">
        <w:t xml:space="preserve">Definitions. For the purpose of this section: </w:t>
      </w:r>
    </w:p>
    <w:p w:rsidR="003700A6" w:rsidRDefault="00E40893" w:rsidP="003700A6">
      <w:pPr>
        <w:ind w:left="720"/>
      </w:pPr>
      <w:hyperlink r:id="rId18" w:history="1">
        <w:r w:rsidR="003700A6" w:rsidRPr="003700A6">
          <w:rPr>
            <w:rStyle w:val="Hyperlink"/>
            <w:vanish/>
            <w:u w:val="none"/>
          </w:rPr>
          <w:t>DWD 272.07(5)(a)</w:t>
        </w:r>
      </w:hyperlink>
      <w:r w:rsidR="003700A6" w:rsidRPr="003700A6">
        <w:rPr>
          <w:bCs/>
        </w:rPr>
        <w:t xml:space="preserve"> (a)</w:t>
      </w:r>
      <w:r w:rsidR="003700A6" w:rsidRPr="003700A6">
        <w:t xml:space="preserve"> A "recreational or educational camp" means a camp operated under trained leadership for the purpose of providing group experience for and contributing to the physical, mental, spiritual and social growth of campers who are less than 18 years of age and who make such camp their residence during the camping period.</w:t>
      </w:r>
    </w:p>
    <w:p w:rsidR="003700A6" w:rsidRDefault="00E40893" w:rsidP="003700A6">
      <w:pPr>
        <w:ind w:left="720"/>
      </w:pPr>
      <w:hyperlink r:id="rId19" w:history="1">
        <w:r w:rsidR="003700A6" w:rsidRPr="003700A6">
          <w:rPr>
            <w:rStyle w:val="Hyperlink"/>
            <w:vanish/>
          </w:rPr>
          <w:t>DWD 272.07(5)(b)</w:t>
        </w:r>
      </w:hyperlink>
      <w:r w:rsidR="003700A6">
        <w:t>(</w:t>
      </w:r>
      <w:r w:rsidR="003700A6" w:rsidRPr="003700A6">
        <w:rPr>
          <w:b/>
          <w:bCs/>
        </w:rPr>
        <w:t>b)</w:t>
      </w:r>
      <w:r w:rsidR="003700A6" w:rsidRPr="003700A6">
        <w:t xml:space="preserve"> A "recreational or educational day camp" means a camp operated under trained leadership for the purpose of providing group experience and contributing to the physical, mental, spiritual and social growth of campers who participate in such camping program during daytime periods, but not overnight.</w:t>
      </w:r>
      <w:hyperlink r:id="rId20" w:history="1">
        <w:r w:rsidR="003700A6" w:rsidRPr="003700A6">
          <w:rPr>
            <w:rStyle w:val="Hyperlink"/>
            <w:vanish/>
          </w:rPr>
          <w:t>DWD 272.07(5)(c)</w:t>
        </w:r>
      </w:hyperlink>
    </w:p>
    <w:p w:rsidR="00015A1C" w:rsidRDefault="003700A6" w:rsidP="003700A6">
      <w:pPr>
        <w:ind w:left="720"/>
      </w:pPr>
      <w:r w:rsidRPr="003700A6">
        <w:rPr>
          <w:b/>
          <w:bCs/>
        </w:rPr>
        <w:t>(c)</w:t>
      </w:r>
      <w:r w:rsidRPr="003700A6">
        <w:t xml:space="preserve"> A "camp counselor" means a person employed by a "recreational or educational camp" or "recreational or educational day camp" who leads, directs and instructs campers in such camps in their camping program and activities and shares responsibility for the total care and well-being of campers.</w:t>
      </w:r>
      <w:r>
        <w:t>”</w:t>
      </w:r>
    </w:p>
    <w:p w:rsidR="00015A1C" w:rsidRDefault="00015A1C" w:rsidP="00015A1C">
      <w:r>
        <w:t>References:</w:t>
      </w:r>
    </w:p>
    <w:p w:rsidR="00015A1C" w:rsidRDefault="00E40893" w:rsidP="00015A1C">
      <w:hyperlink r:id="rId21" w:history="1">
        <w:r w:rsidR="00015A1C" w:rsidRPr="00D138AA">
          <w:rPr>
            <w:rStyle w:val="Hyperlink"/>
          </w:rPr>
          <w:t>U.S. Department or Labor Fact Sheet #18</w:t>
        </w:r>
      </w:hyperlink>
    </w:p>
    <w:p w:rsidR="003700A6" w:rsidRDefault="00E40893" w:rsidP="00015A1C">
      <w:hyperlink r:id="rId22" w:history="1">
        <w:r w:rsidR="003700A6" w:rsidRPr="003700A6">
          <w:rPr>
            <w:rStyle w:val="Hyperlink"/>
          </w:rPr>
          <w:t>Department of Workforce Development Chapter 272.07</w:t>
        </w:r>
      </w:hyperlink>
      <w:bookmarkStart w:id="0" w:name="_GoBack"/>
      <w:bookmarkEnd w:id="0"/>
    </w:p>
    <w:sectPr w:rsidR="003700A6" w:rsidSect="00EA6FDE">
      <w:headerReference w:type="even" r:id="rId23"/>
      <w:headerReference w:type="default" r:id="rId24"/>
      <w:footerReference w:type="even" r:id="rId25"/>
      <w:footerReference w:type="default" r:id="rId26"/>
      <w:headerReference w:type="first" r:id="rId27"/>
      <w:footerReference w:type="first" r:id="rId28"/>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590" w:rsidRDefault="00493590" w:rsidP="00493590">
      <w:pPr>
        <w:spacing w:after="0" w:line="240" w:lineRule="auto"/>
      </w:pPr>
      <w:r>
        <w:separator/>
      </w:r>
    </w:p>
  </w:endnote>
  <w:endnote w:type="continuationSeparator" w:id="0">
    <w:p w:rsidR="00493590" w:rsidRDefault="00493590" w:rsidP="0049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61" w:rsidRDefault="00C00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ED" w:rsidRPr="001563ED" w:rsidRDefault="00BA1ADB">
    <w:pPr>
      <w:rPr>
        <w:sz w:val="4"/>
      </w:rPr>
    </w:pPr>
    <w:r>
      <w:rPr>
        <w:b/>
        <w:noProof/>
      </w:rPr>
      <w:drawing>
        <wp:anchor distT="0" distB="0" distL="114300" distR="114300" simplePos="0" relativeHeight="251657727" behindDoc="0" locked="0" layoutInCell="1" allowOverlap="1" wp14:anchorId="0133F000" wp14:editId="408AD11E">
          <wp:simplePos x="0" y="0"/>
          <wp:positionH relativeFrom="column">
            <wp:posOffset>3810</wp:posOffset>
          </wp:positionH>
          <wp:positionV relativeFrom="paragraph">
            <wp:posOffset>-66658</wp:posOffset>
          </wp:positionV>
          <wp:extent cx="2084832" cy="6400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Human Resources_1c_L_grad.png"/>
                  <pic:cNvPicPr/>
                </pic:nvPicPr>
                <pic:blipFill>
                  <a:blip r:embed="rId1">
                    <a:extLst>
                      <a:ext uri="{28A0092B-C50C-407E-A947-70E740481C1C}">
                        <a14:useLocalDpi xmlns:a14="http://schemas.microsoft.com/office/drawing/2010/main" val="0"/>
                      </a:ext>
                    </a:extLst>
                  </a:blip>
                  <a:stretch>
                    <a:fillRect/>
                  </a:stretch>
                </pic:blipFill>
                <pic:spPr>
                  <a:xfrm>
                    <a:off x="0" y="0"/>
                    <a:ext cx="2084832" cy="640080"/>
                  </a:xfrm>
                  <a:prstGeom prst="rect">
                    <a:avLst/>
                  </a:prstGeom>
                </pic:spPr>
              </pic:pic>
            </a:graphicData>
          </a:graphic>
          <wp14:sizeRelH relativeFrom="page">
            <wp14:pctWidth>0</wp14:pctWidth>
          </wp14:sizeRelH>
          <wp14:sizeRelV relativeFrom="page">
            <wp14:pctHeight>0</wp14:pctHeight>
          </wp14:sizeRelV>
        </wp:anchor>
      </w:drawing>
    </w:r>
    <w:r w:rsidR="00BF00C4">
      <w:rPr>
        <w:b/>
        <w:noProof/>
      </w:rPr>
      <mc:AlternateContent>
        <mc:Choice Requires="wps">
          <w:drawing>
            <wp:anchor distT="0" distB="0" distL="114300" distR="114300" simplePos="0" relativeHeight="251657215" behindDoc="1" locked="0" layoutInCell="1" allowOverlap="1" wp14:anchorId="288550AE" wp14:editId="1D74EDEB">
              <wp:simplePos x="0" y="0"/>
              <wp:positionH relativeFrom="column">
                <wp:posOffset>1714500</wp:posOffset>
              </wp:positionH>
              <wp:positionV relativeFrom="paragraph">
                <wp:posOffset>139700</wp:posOffset>
              </wp:positionV>
              <wp:extent cx="5205095" cy="228600"/>
              <wp:effectExtent l="0" t="0" r="0" b="0"/>
              <wp:wrapNone/>
              <wp:docPr id="5" name="Rectangle 5"/>
              <wp:cNvGraphicFramePr/>
              <a:graphic xmlns:a="http://schemas.openxmlformats.org/drawingml/2006/main">
                <a:graphicData uri="http://schemas.microsoft.com/office/word/2010/wordprocessingShape">
                  <wps:wsp>
                    <wps:cNvSpPr/>
                    <wps:spPr>
                      <a:xfrm>
                        <a:off x="0" y="0"/>
                        <a:ext cx="5205095" cy="228600"/>
                      </a:xfrm>
                      <a:prstGeom prst="rect">
                        <a:avLst/>
                      </a:prstGeom>
                      <a:gradFill flip="none" rotWithShape="1">
                        <a:gsLst>
                          <a:gs pos="0">
                            <a:schemeClr val="bg1">
                              <a:lumMod val="65000"/>
                            </a:schemeClr>
                          </a:gs>
                          <a:gs pos="50000">
                            <a:schemeClr val="bg1">
                              <a:shade val="67500"/>
                              <a:satMod val="115000"/>
                            </a:schemeClr>
                          </a:gs>
                          <a:gs pos="100000">
                            <a:schemeClr val="bg1">
                              <a:shade val="100000"/>
                              <a:satMod val="11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1F2F92" id="Rectangle 5" o:spid="_x0000_s1026" style="position:absolute;margin-left:135pt;margin-top:11pt;width:409.85pt;height:18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" fillcolor="#a5a5a5 [2092]" stroked="f" strokeweight="2pt">
              <v:fill color2="white [3212]" rotate="t" angle="270" colors="0 #a6a6a6;.5 #d6d6d6;1 white" focus="100%" type="gradient"/>
            </v:rect>
          </w:pict>
        </mc:Fallback>
      </mc:AlternateContent>
    </w:r>
  </w:p>
  <w:p w:rsidR="006053C9" w:rsidRPr="001C3746" w:rsidRDefault="00BA1ADB" w:rsidP="006053C9">
    <w:pPr>
      <w:pStyle w:val="Footer"/>
      <w:tabs>
        <w:tab w:val="clear" w:pos="9360"/>
        <w:tab w:val="right" w:pos="9270"/>
      </w:tabs>
      <w:spacing w:before="40"/>
      <w:jc w:val="right"/>
      <w:rPr>
        <w:i/>
        <w:sz w:val="20"/>
        <w:szCs w:val="20"/>
      </w:rPr>
    </w:pPr>
    <w:r>
      <w:rPr>
        <w:i/>
        <w:sz w:val="20"/>
        <w:szCs w:val="20"/>
      </w:rPr>
      <w:t>Compensation and Titling</w:t>
    </w:r>
    <w:r w:rsidR="006053C9" w:rsidRPr="001C3746">
      <w:rPr>
        <w:i/>
        <w:sz w:val="20"/>
        <w:szCs w:val="20"/>
      </w:rPr>
      <w:t xml:space="preserve"> | Version 1.0 (updated </w:t>
    </w:r>
    <w:r>
      <w:rPr>
        <w:i/>
        <w:sz w:val="20"/>
        <w:szCs w:val="20"/>
      </w:rPr>
      <w:fldChar w:fldCharType="begin"/>
    </w:r>
    <w:r>
      <w:rPr>
        <w:i/>
        <w:sz w:val="20"/>
        <w:szCs w:val="20"/>
      </w:rPr>
      <w:instrText xml:space="preserve"> DATE \@ "M/d/yyyy" </w:instrText>
    </w:r>
    <w:r>
      <w:rPr>
        <w:i/>
        <w:sz w:val="20"/>
        <w:szCs w:val="20"/>
      </w:rPr>
      <w:fldChar w:fldCharType="separate"/>
    </w:r>
    <w:r w:rsidR="00913967">
      <w:rPr>
        <w:i/>
        <w:noProof/>
        <w:sz w:val="20"/>
        <w:szCs w:val="20"/>
      </w:rPr>
      <w:t>10/27/2019</w:t>
    </w:r>
    <w:r>
      <w:rPr>
        <w:i/>
        <w:sz w:val="20"/>
        <w:szCs w:val="20"/>
      </w:rPr>
      <w:fldChar w:fldCharType="end"/>
    </w:r>
    <w:r>
      <w:rPr>
        <w:i/>
        <w:sz w:val="20"/>
        <w:szCs w:val="20"/>
      </w:rPr>
      <w:t xml:space="preserve">) / Page </w:t>
    </w:r>
    <w:r w:rsidRPr="00BA1ADB">
      <w:rPr>
        <w:i/>
        <w:sz w:val="20"/>
        <w:szCs w:val="20"/>
      </w:rPr>
      <w:fldChar w:fldCharType="begin"/>
    </w:r>
    <w:r w:rsidRPr="00BA1ADB">
      <w:rPr>
        <w:i/>
        <w:sz w:val="20"/>
        <w:szCs w:val="20"/>
      </w:rPr>
      <w:instrText xml:space="preserve"> PAGE   \* MERGEFORMAT </w:instrText>
    </w:r>
    <w:r w:rsidRPr="00BA1ADB">
      <w:rPr>
        <w:i/>
        <w:sz w:val="20"/>
        <w:szCs w:val="20"/>
      </w:rPr>
      <w:fldChar w:fldCharType="separate"/>
    </w:r>
    <w:r w:rsidR="00E40893">
      <w:rPr>
        <w:i/>
        <w:noProof/>
        <w:sz w:val="20"/>
        <w:szCs w:val="20"/>
      </w:rPr>
      <w:t>1</w:t>
    </w:r>
    <w:r w:rsidRPr="00BA1ADB">
      <w:rPr>
        <w:i/>
        <w:noProof/>
        <w:sz w:val="20"/>
        <w:szCs w:val="20"/>
      </w:rPr>
      <w:fldChar w:fldCharType="end"/>
    </w:r>
    <w:r w:rsidR="00DC669C">
      <w:rPr>
        <w:i/>
        <w:noProof/>
        <w:sz w:val="20"/>
        <w:szCs w:val="20"/>
      </w:rPr>
      <w:t xml:space="preserve"> of </w:t>
    </w:r>
    <w:r w:rsidR="00DC669C">
      <w:rPr>
        <w:i/>
        <w:noProof/>
        <w:sz w:val="20"/>
        <w:szCs w:val="20"/>
      </w:rPr>
      <w:fldChar w:fldCharType="begin"/>
    </w:r>
    <w:r w:rsidR="00DC669C">
      <w:rPr>
        <w:i/>
        <w:noProof/>
        <w:sz w:val="20"/>
        <w:szCs w:val="20"/>
      </w:rPr>
      <w:instrText xml:space="preserve"> NUMPAGES   \* MERGEFORMAT </w:instrText>
    </w:r>
    <w:r w:rsidR="00DC669C">
      <w:rPr>
        <w:i/>
        <w:noProof/>
        <w:sz w:val="20"/>
        <w:szCs w:val="20"/>
      </w:rPr>
      <w:fldChar w:fldCharType="separate"/>
    </w:r>
    <w:r w:rsidR="00E40893">
      <w:rPr>
        <w:i/>
        <w:noProof/>
        <w:sz w:val="20"/>
        <w:szCs w:val="20"/>
      </w:rPr>
      <w:t>2</w:t>
    </w:r>
    <w:r w:rsidR="00DC669C">
      <w:rPr>
        <w:i/>
        <w:noProof/>
        <w:sz w:val="20"/>
        <w:szCs w:val="20"/>
      </w:rPr>
      <w:fldChar w:fldCharType="end"/>
    </w:r>
  </w:p>
  <w:p w:rsidR="009B6995" w:rsidRPr="005F48F6" w:rsidRDefault="009B6995" w:rsidP="001563ED">
    <w:pPr>
      <w:pStyle w:val="Footer"/>
      <w:tabs>
        <w:tab w:val="clear" w:pos="9360"/>
        <w:tab w:val="right" w:pos="9270"/>
      </w:tabs>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61" w:rsidRDefault="00C00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590" w:rsidRDefault="00493590" w:rsidP="00493590">
      <w:pPr>
        <w:spacing w:after="0" w:line="240" w:lineRule="auto"/>
      </w:pPr>
      <w:r>
        <w:separator/>
      </w:r>
    </w:p>
  </w:footnote>
  <w:footnote w:type="continuationSeparator" w:id="0">
    <w:p w:rsidR="00493590" w:rsidRDefault="00493590" w:rsidP="00493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61" w:rsidRDefault="00C00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61" w:rsidRDefault="00C00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61" w:rsidRDefault="00C00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1BF"/>
    <w:multiLevelType w:val="hybridMultilevel"/>
    <w:tmpl w:val="1702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1254D"/>
    <w:multiLevelType w:val="hybridMultilevel"/>
    <w:tmpl w:val="564C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5376E"/>
    <w:multiLevelType w:val="hybridMultilevel"/>
    <w:tmpl w:val="8C983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72FDD"/>
    <w:multiLevelType w:val="hybridMultilevel"/>
    <w:tmpl w:val="FC3A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E4CA0"/>
    <w:multiLevelType w:val="hybridMultilevel"/>
    <w:tmpl w:val="CD84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CC"/>
    <w:rsid w:val="00015A1C"/>
    <w:rsid w:val="00015B37"/>
    <w:rsid w:val="00015C7A"/>
    <w:rsid w:val="000F1DB6"/>
    <w:rsid w:val="001223FE"/>
    <w:rsid w:val="001563ED"/>
    <w:rsid w:val="001C3746"/>
    <w:rsid w:val="002561B3"/>
    <w:rsid w:val="00275694"/>
    <w:rsid w:val="0033557E"/>
    <w:rsid w:val="00361C6F"/>
    <w:rsid w:val="003700A6"/>
    <w:rsid w:val="00373C81"/>
    <w:rsid w:val="003870CB"/>
    <w:rsid w:val="00392B67"/>
    <w:rsid w:val="003A2F6E"/>
    <w:rsid w:val="003C7F1E"/>
    <w:rsid w:val="003F57AD"/>
    <w:rsid w:val="00493590"/>
    <w:rsid w:val="005529CD"/>
    <w:rsid w:val="005A7929"/>
    <w:rsid w:val="005F48F6"/>
    <w:rsid w:val="006053C9"/>
    <w:rsid w:val="006C0BA6"/>
    <w:rsid w:val="006E5642"/>
    <w:rsid w:val="006F7361"/>
    <w:rsid w:val="00732F79"/>
    <w:rsid w:val="007339AC"/>
    <w:rsid w:val="007A38F1"/>
    <w:rsid w:val="008939D0"/>
    <w:rsid w:val="008C60CC"/>
    <w:rsid w:val="00913967"/>
    <w:rsid w:val="009B6995"/>
    <w:rsid w:val="009F74D6"/>
    <w:rsid w:val="00A36708"/>
    <w:rsid w:val="00A5569E"/>
    <w:rsid w:val="00AA617F"/>
    <w:rsid w:val="00AE7BB0"/>
    <w:rsid w:val="00B774C9"/>
    <w:rsid w:val="00BA1ADB"/>
    <w:rsid w:val="00BE68D1"/>
    <w:rsid w:val="00BF00C4"/>
    <w:rsid w:val="00C00561"/>
    <w:rsid w:val="00C3450E"/>
    <w:rsid w:val="00C619BE"/>
    <w:rsid w:val="00C8175B"/>
    <w:rsid w:val="00CA0CFD"/>
    <w:rsid w:val="00CD1378"/>
    <w:rsid w:val="00D138AA"/>
    <w:rsid w:val="00D516D2"/>
    <w:rsid w:val="00DC669C"/>
    <w:rsid w:val="00E01882"/>
    <w:rsid w:val="00E050FC"/>
    <w:rsid w:val="00E10222"/>
    <w:rsid w:val="00E40893"/>
    <w:rsid w:val="00E468EA"/>
    <w:rsid w:val="00EA6FDE"/>
    <w:rsid w:val="00EB184C"/>
    <w:rsid w:val="00EE4FB0"/>
    <w:rsid w:val="00F9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4577"/>
    <o:shapelayout v:ext="edit">
      <o:idmap v:ext="edit" data="1"/>
    </o:shapelayout>
  </w:shapeDefaults>
  <w:decimalSymbol w:val="."/>
  <w:listSeparator w:val=","/>
  <w15:docId w15:val="{833B3147-6D5E-445F-A95D-0C08D549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0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B67"/>
    <w:pPr>
      <w:ind w:left="720"/>
      <w:contextualSpacing/>
    </w:pPr>
  </w:style>
  <w:style w:type="paragraph" w:styleId="Header">
    <w:name w:val="header"/>
    <w:basedOn w:val="Normal"/>
    <w:link w:val="HeaderChar"/>
    <w:uiPriority w:val="99"/>
    <w:unhideWhenUsed/>
    <w:rsid w:val="00493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90"/>
  </w:style>
  <w:style w:type="paragraph" w:styleId="Footer">
    <w:name w:val="footer"/>
    <w:basedOn w:val="Normal"/>
    <w:link w:val="FooterChar"/>
    <w:uiPriority w:val="99"/>
    <w:unhideWhenUsed/>
    <w:rsid w:val="00493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90"/>
  </w:style>
  <w:style w:type="paragraph" w:styleId="BalloonText">
    <w:name w:val="Balloon Text"/>
    <w:basedOn w:val="Normal"/>
    <w:link w:val="BalloonTextChar"/>
    <w:uiPriority w:val="99"/>
    <w:semiHidden/>
    <w:unhideWhenUsed/>
    <w:rsid w:val="0049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90"/>
    <w:rPr>
      <w:rFonts w:ascii="Tahoma" w:hAnsi="Tahoma" w:cs="Tahoma"/>
      <w:sz w:val="16"/>
      <w:szCs w:val="16"/>
    </w:rPr>
  </w:style>
  <w:style w:type="table" w:styleId="TableGrid">
    <w:name w:val="Table Grid"/>
    <w:basedOn w:val="TableNormal"/>
    <w:uiPriority w:val="59"/>
    <w:rsid w:val="0036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3ED"/>
    <w:rPr>
      <w:color w:val="0000FF" w:themeColor="hyperlink"/>
      <w:u w:val="single"/>
    </w:rPr>
  </w:style>
  <w:style w:type="character" w:styleId="PlaceholderText">
    <w:name w:val="Placeholder Text"/>
    <w:basedOn w:val="DefaultParagraphFont"/>
    <w:uiPriority w:val="99"/>
    <w:semiHidden/>
    <w:rsid w:val="006C0BA6"/>
    <w:rPr>
      <w:color w:val="808080"/>
    </w:rPr>
  </w:style>
  <w:style w:type="character" w:styleId="FollowedHyperlink">
    <w:name w:val="FollowedHyperlink"/>
    <w:basedOn w:val="DefaultParagraphFont"/>
    <w:uiPriority w:val="99"/>
    <w:semiHidden/>
    <w:unhideWhenUsed/>
    <w:rsid w:val="009139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legis.wisconsin.gov/document/administrativecode/DWD%20272.07(3)(a)3." TargetMode="External"/><Relationship Id="rId18" Type="http://schemas.openxmlformats.org/officeDocument/2006/relationships/hyperlink" Target="http://docs.legis.wisconsin.gov/document/administrativecode/DWD%20272.07(5)(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dol.gov/whd/regs/compliance/whdfs18.pdf" TargetMode="External"/><Relationship Id="rId7" Type="http://schemas.openxmlformats.org/officeDocument/2006/relationships/endnotes" Target="endnotes.xml"/><Relationship Id="rId12" Type="http://schemas.openxmlformats.org/officeDocument/2006/relationships/hyperlink" Target="http://docs.legis.wisconsin.gov/document/administrativecode/DWD%20272.07(3)(a)2." TargetMode="External"/><Relationship Id="rId17" Type="http://schemas.openxmlformats.org/officeDocument/2006/relationships/hyperlink" Target="http://docs.legis.wisconsin.gov/document/administrativecode/DWD%20272.07(3)(b)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legis.wisconsin.gov/document/administrativecode/DWD%20272.07(3)(b)2." TargetMode="External"/><Relationship Id="rId20" Type="http://schemas.openxmlformats.org/officeDocument/2006/relationships/hyperlink" Target="http://docs.legis.wisconsin.gov/document/administrativecode/DWD%20272.07(5)(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document/administrativecode/DWD%20272.07(3)(a)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legis.wisconsin.gov/document/administrativecode/DWD%20272.07(3)(b)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docs.legis.wisconsin.gov/document/administrativecode/DWD%20272.07(3)(a)" TargetMode="External"/><Relationship Id="rId19" Type="http://schemas.openxmlformats.org/officeDocument/2006/relationships/hyperlink" Target="http://docs.legis.wisconsin.gov/document/administrativecode/DWD%20272.07(5)(b)" TargetMode="External"/><Relationship Id="rId4" Type="http://schemas.openxmlformats.org/officeDocument/2006/relationships/settings" Target="settings.xml"/><Relationship Id="rId9" Type="http://schemas.openxmlformats.org/officeDocument/2006/relationships/hyperlink" Target="https://docs.legis.wisconsin.gov/code/admin_code/dwd/270_279/272/07" TargetMode="External"/><Relationship Id="rId14" Type="http://schemas.openxmlformats.org/officeDocument/2006/relationships/hyperlink" Target="http://docs.legis.wisconsin.gov/document/administrativecode/DWD%20272.07(3)(b)" TargetMode="External"/><Relationship Id="rId22" Type="http://schemas.openxmlformats.org/officeDocument/2006/relationships/hyperlink" Target="https://docs.legis.wisconsin.gov/code/admin_code/dwd/270_279/272/07"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9A26A-AF72-4835-8E87-E908470B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Owens, Meghan</cp:lastModifiedBy>
  <cp:revision>3</cp:revision>
  <cp:lastPrinted>2015-10-14T14:57:00Z</cp:lastPrinted>
  <dcterms:created xsi:type="dcterms:W3CDTF">2019-10-27T18:18:00Z</dcterms:created>
  <dcterms:modified xsi:type="dcterms:W3CDTF">2019-10-27T18:36:00Z</dcterms:modified>
</cp:coreProperties>
</file>