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4BDE8" w14:textId="77777777" w:rsidR="0014552E" w:rsidRDefault="005663F8">
      <w:pPr>
        <w:rPr>
          <w:rFonts w:ascii="Arial Black" w:eastAsia="Arial Black" w:hAnsi="Arial Black" w:cs="Arial Black"/>
          <w:sz w:val="20"/>
          <w:szCs w:val="20"/>
        </w:rPr>
      </w:pPr>
      <w:r>
        <w:rPr>
          <w:rFonts w:ascii="Arial Black" w:eastAsia="Arial Black" w:hAnsi="Arial Black" w:cs="Arial Black"/>
          <w:sz w:val="20"/>
          <w:szCs w:val="20"/>
        </w:rPr>
        <w:t xml:space="preserve">GSSF </w:t>
      </w:r>
      <w:r>
        <w:rPr>
          <w:noProof/>
        </w:rPr>
        <w:drawing>
          <wp:anchor distT="0" distB="0" distL="114300" distR="114300" simplePos="0" relativeHeight="251658240" behindDoc="0" locked="0" layoutInCell="1" hidden="0" allowOverlap="1" wp14:anchorId="39B36151" wp14:editId="31A9230A">
            <wp:simplePos x="0" y="0"/>
            <wp:positionH relativeFrom="margin">
              <wp:posOffset>4162425</wp:posOffset>
            </wp:positionH>
            <wp:positionV relativeFrom="paragraph">
              <wp:posOffset>10795</wp:posOffset>
            </wp:positionV>
            <wp:extent cx="2695575" cy="684530"/>
            <wp:effectExtent l="0" t="0" r="0" b="0"/>
            <wp:wrapNone/>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2695575" cy="684530"/>
                    </a:xfrm>
                    <a:prstGeom prst="rect">
                      <a:avLst/>
                    </a:prstGeom>
                    <a:ln/>
                  </pic:spPr>
                </pic:pic>
              </a:graphicData>
            </a:graphic>
          </wp:anchor>
        </w:drawing>
      </w:r>
      <w:r w:rsidR="004021E4">
        <w:rPr>
          <w:rFonts w:ascii="Arial Black" w:eastAsia="Arial Black" w:hAnsi="Arial Black" w:cs="Arial Black"/>
          <w:sz w:val="20"/>
          <w:szCs w:val="20"/>
        </w:rPr>
        <w:t>Lobbying Disclosure Form</w:t>
      </w:r>
    </w:p>
    <w:p w14:paraId="10161F30" w14:textId="77777777" w:rsidR="0014552E" w:rsidRDefault="005663F8">
      <w:pPr>
        <w:rPr>
          <w:rFonts w:ascii="Arial Black" w:eastAsia="Arial Black" w:hAnsi="Arial Black" w:cs="Arial Black"/>
          <w:sz w:val="20"/>
          <w:szCs w:val="20"/>
        </w:rPr>
      </w:pPr>
      <w:r>
        <w:rPr>
          <w:rFonts w:ascii="Arial Black" w:eastAsia="Arial Black" w:hAnsi="Arial Black" w:cs="Arial Black"/>
          <w:b/>
          <w:sz w:val="20"/>
          <w:szCs w:val="20"/>
        </w:rPr>
        <w:t>Student Services Finance Committee</w:t>
      </w:r>
    </w:p>
    <w:p w14:paraId="3BB726DD" w14:textId="77777777" w:rsidR="0014552E" w:rsidRDefault="005663F8">
      <w:pPr>
        <w:rPr>
          <w:rFonts w:ascii="Arial Black" w:eastAsia="Arial Black" w:hAnsi="Arial Black" w:cs="Arial Black"/>
          <w:sz w:val="20"/>
          <w:szCs w:val="20"/>
        </w:rPr>
      </w:pPr>
      <w:r>
        <w:rPr>
          <w:rFonts w:ascii="Arial Unicode MS" w:eastAsia="Arial Unicode MS" w:hAnsi="Arial Unicode MS" w:cs="Arial Unicode MS"/>
          <w:b/>
          <w:sz w:val="20"/>
          <w:szCs w:val="20"/>
        </w:rPr>
        <w:t>Room 4301 ● 333 East Campus Mall ● 265-9020</w:t>
      </w:r>
    </w:p>
    <w:p w14:paraId="7C5ACF7D" w14:textId="7619C8C0" w:rsidR="0014552E" w:rsidRDefault="005663F8">
      <w:pPr>
        <w:ind w:left="720" w:hanging="720"/>
        <w:rPr>
          <w:rFonts w:ascii="Arial" w:eastAsia="Arial" w:hAnsi="Arial" w:cs="Arial"/>
          <w:sz w:val="20"/>
          <w:szCs w:val="20"/>
        </w:rPr>
      </w:pPr>
      <w:r>
        <w:rPr>
          <w:rFonts w:ascii="Arial Black" w:eastAsia="Arial Black" w:hAnsi="Arial Black" w:cs="Arial Black"/>
          <w:b/>
          <w:sz w:val="20"/>
          <w:szCs w:val="20"/>
        </w:rPr>
        <w:t>SSFC Chair</w:t>
      </w:r>
      <w:r w:rsidR="007E6FE6">
        <w:rPr>
          <w:rFonts w:ascii="Arial Black" w:eastAsia="Arial Black" w:hAnsi="Arial Black" w:cs="Arial Black"/>
          <w:b/>
          <w:sz w:val="20"/>
          <w:szCs w:val="20"/>
        </w:rPr>
        <w:t xml:space="preserve"> </w:t>
      </w:r>
      <w:hyperlink r:id="rId6">
        <w:r>
          <w:rPr>
            <w:rFonts w:ascii="Arial Black" w:eastAsia="Arial Black" w:hAnsi="Arial Black" w:cs="Arial Black"/>
            <w:b/>
            <w:color w:val="0000FF"/>
            <w:sz w:val="20"/>
            <w:szCs w:val="20"/>
            <w:u w:val="single"/>
          </w:rPr>
          <w:t>ssfc@asm.wisc.edu</w:t>
        </w:r>
      </w:hyperlink>
      <w:r>
        <w:rPr>
          <w:rFonts w:ascii="Arial Black" w:eastAsia="Arial Black" w:hAnsi="Arial Black" w:cs="Arial Black"/>
          <w:b/>
          <w:sz w:val="20"/>
          <w:szCs w:val="20"/>
        </w:rPr>
        <w:t xml:space="preserve"> </w:t>
      </w:r>
      <w:r>
        <w:rPr>
          <w:rFonts w:ascii="Arial" w:eastAsia="Arial" w:hAnsi="Arial" w:cs="Arial"/>
          <w:b/>
          <w:sz w:val="20"/>
          <w:szCs w:val="20"/>
        </w:rPr>
        <w:t xml:space="preserve"> </w:t>
      </w:r>
    </w:p>
    <w:p w14:paraId="42D6DB22" w14:textId="77777777" w:rsidR="0014552E" w:rsidRDefault="0014552E">
      <w:pPr>
        <w:rPr>
          <w:rFonts w:ascii="Times New Roman" w:eastAsia="Times New Roman" w:hAnsi="Times New Roman" w:cs="Times New Roman"/>
        </w:rPr>
      </w:pPr>
    </w:p>
    <w:p w14:paraId="47A17068" w14:textId="77777777" w:rsidR="005663F8" w:rsidRPr="00BD5B9D" w:rsidRDefault="005663F8" w:rsidP="005663F8">
      <w:pPr>
        <w:pStyle w:val="BodyText"/>
        <w:jc w:val="left"/>
        <w:rPr>
          <w:rFonts w:ascii="Times New Roman" w:hAnsi="Times New Roman"/>
        </w:rPr>
      </w:pPr>
      <w:r w:rsidRPr="00BD5B9D">
        <w:rPr>
          <w:rFonts w:ascii="Times New Roman" w:hAnsi="Times New Roman"/>
        </w:rPr>
        <w:t xml:space="preserve">With respect to </w:t>
      </w:r>
      <w:r>
        <w:rPr>
          <w:rFonts w:ascii="Times New Roman" w:hAnsi="Times New Roman"/>
        </w:rPr>
        <w:t>2.01(5) of the ASM Bylaws:</w:t>
      </w:r>
    </w:p>
    <w:p w14:paraId="17622372" w14:textId="77777777" w:rsidR="005663F8" w:rsidRPr="009B1D57" w:rsidRDefault="005663F8" w:rsidP="005663F8">
      <w:pPr>
        <w:ind w:left="720"/>
        <w:rPr>
          <w:rFonts w:ascii="Verdana" w:hAnsi="Verdana"/>
          <w:b/>
          <w:bCs/>
          <w:color w:val="000000"/>
          <w:sz w:val="17"/>
          <w:szCs w:val="17"/>
        </w:rPr>
      </w:pPr>
      <w:r w:rsidRPr="009B1D57">
        <w:rPr>
          <w:rFonts w:ascii="Times New Roman" w:hAnsi="Times New Roman"/>
          <w:b/>
          <w:bCs/>
          <w:color w:val="000000"/>
          <w:sz w:val="20"/>
          <w:szCs w:val="20"/>
        </w:rPr>
        <w:t xml:space="preserve">2.01(5)- Lobbying Disclosure </w:t>
      </w:r>
      <w:r w:rsidRPr="009B1D57">
        <w:rPr>
          <w:rFonts w:ascii="Times New Roman" w:hAnsi="Times New Roman"/>
          <w:b/>
          <w:bCs/>
          <w:color w:val="000000"/>
          <w:sz w:val="20"/>
          <w:szCs w:val="20"/>
        </w:rPr>
        <w:br/>
      </w:r>
    </w:p>
    <w:p w14:paraId="2AF681D7" w14:textId="77777777" w:rsidR="005663F8" w:rsidRPr="009B1D57" w:rsidRDefault="005663F8" w:rsidP="005663F8">
      <w:pPr>
        <w:ind w:left="720"/>
        <w:rPr>
          <w:rFonts w:ascii="Verdana" w:hAnsi="Verdana"/>
          <w:bCs/>
          <w:color w:val="000000"/>
          <w:sz w:val="17"/>
          <w:szCs w:val="17"/>
        </w:rPr>
      </w:pPr>
      <w:r w:rsidRPr="009B1D57">
        <w:rPr>
          <w:rFonts w:ascii="Times New Roman" w:hAnsi="Times New Roman"/>
          <w:bCs/>
          <w:color w:val="000000"/>
          <w:sz w:val="20"/>
          <w:szCs w:val="20"/>
        </w:rPr>
        <w:t>2.01(5)(a)-</w:t>
      </w:r>
    </w:p>
    <w:p w14:paraId="4DDFDC23" w14:textId="77777777" w:rsidR="005663F8" w:rsidRPr="009B1D57" w:rsidRDefault="005663F8" w:rsidP="005663F8">
      <w:pPr>
        <w:ind w:left="720"/>
        <w:rPr>
          <w:rFonts w:ascii="Verdana" w:hAnsi="Verdana"/>
          <w:bCs/>
          <w:color w:val="000000"/>
          <w:sz w:val="17"/>
          <w:szCs w:val="17"/>
        </w:rPr>
      </w:pPr>
      <w:r w:rsidRPr="009B1D57">
        <w:rPr>
          <w:rFonts w:ascii="Times New Roman" w:hAnsi="Times New Roman"/>
          <w:bCs/>
          <w:color w:val="000000"/>
          <w:sz w:val="20"/>
          <w:szCs w:val="20"/>
        </w:rPr>
        <w:t>Representatives from any organization requesting funding and members of ASM bodies deciding on that funding will disclose any communication relating to the eligibility or funding request of the organization by filling out the “Lobbying Disclosure Form.” Information to be included on the form includes: 1) whether the communications in fact took place; and, 2) the substance of the communications.</w:t>
      </w:r>
      <w:r w:rsidRPr="009B1D57">
        <w:rPr>
          <w:rFonts w:ascii="Times New Roman" w:hAnsi="Times New Roman"/>
          <w:bCs/>
          <w:color w:val="000000"/>
          <w:sz w:val="20"/>
          <w:szCs w:val="20"/>
        </w:rPr>
        <w:br/>
      </w:r>
    </w:p>
    <w:p w14:paraId="200D0C0D" w14:textId="77777777" w:rsidR="005663F8" w:rsidRPr="009B1D57" w:rsidRDefault="005663F8" w:rsidP="005663F8">
      <w:pPr>
        <w:ind w:left="720"/>
        <w:rPr>
          <w:rFonts w:ascii="Verdana" w:hAnsi="Verdana"/>
          <w:bCs/>
          <w:color w:val="000000"/>
          <w:sz w:val="17"/>
          <w:szCs w:val="17"/>
        </w:rPr>
      </w:pPr>
      <w:r w:rsidRPr="009B1D57">
        <w:rPr>
          <w:rFonts w:ascii="Times New Roman" w:hAnsi="Times New Roman"/>
          <w:bCs/>
          <w:color w:val="000000"/>
          <w:sz w:val="20"/>
          <w:szCs w:val="20"/>
        </w:rPr>
        <w:t xml:space="preserve">2.01(5)(b)- Penalties </w:t>
      </w:r>
      <w:r w:rsidRPr="009B1D57">
        <w:rPr>
          <w:rFonts w:ascii="Times New Roman" w:hAnsi="Times New Roman"/>
          <w:bCs/>
          <w:color w:val="000000"/>
          <w:sz w:val="20"/>
          <w:szCs w:val="20"/>
        </w:rPr>
        <w:br/>
      </w:r>
    </w:p>
    <w:p w14:paraId="2F940054" w14:textId="77777777" w:rsidR="005663F8" w:rsidRPr="009B1D57" w:rsidRDefault="005663F8" w:rsidP="005663F8">
      <w:pPr>
        <w:ind w:left="720"/>
        <w:rPr>
          <w:rFonts w:ascii="Verdana" w:hAnsi="Verdana"/>
          <w:bCs/>
          <w:color w:val="000000"/>
          <w:sz w:val="17"/>
          <w:szCs w:val="17"/>
        </w:rPr>
      </w:pPr>
      <w:r w:rsidRPr="009B1D57">
        <w:rPr>
          <w:rFonts w:ascii="Times New Roman" w:hAnsi="Times New Roman"/>
          <w:bCs/>
          <w:color w:val="000000"/>
          <w:sz w:val="20"/>
          <w:szCs w:val="20"/>
        </w:rPr>
        <w:t>2.01(5)(b)1-</w:t>
      </w:r>
    </w:p>
    <w:p w14:paraId="5BDD536E" w14:textId="77777777" w:rsidR="005663F8" w:rsidRPr="009B1D57" w:rsidRDefault="005663F8" w:rsidP="005663F8">
      <w:pPr>
        <w:ind w:left="720"/>
        <w:rPr>
          <w:rFonts w:ascii="Verdana" w:hAnsi="Verdana"/>
          <w:bCs/>
          <w:color w:val="000000"/>
          <w:sz w:val="17"/>
          <w:szCs w:val="17"/>
        </w:rPr>
      </w:pPr>
      <w:r w:rsidRPr="009B1D57">
        <w:rPr>
          <w:rFonts w:ascii="Times New Roman" w:hAnsi="Times New Roman"/>
          <w:bCs/>
          <w:color w:val="000000"/>
          <w:sz w:val="20"/>
          <w:szCs w:val="20"/>
        </w:rPr>
        <w:t xml:space="preserve">Any organization that knowingly, intentionally or willfully violates 2.01(5)(a) may be ineligible for funds for a period of one annual funding cycle by a majority vote of the ASM body responsible for the funding decision. </w:t>
      </w:r>
      <w:r w:rsidRPr="009B1D57">
        <w:rPr>
          <w:rFonts w:ascii="Times New Roman" w:hAnsi="Times New Roman"/>
          <w:bCs/>
          <w:color w:val="000000"/>
          <w:sz w:val="20"/>
          <w:szCs w:val="20"/>
        </w:rPr>
        <w:br/>
      </w:r>
    </w:p>
    <w:p w14:paraId="54D696A6" w14:textId="77777777" w:rsidR="005663F8" w:rsidRPr="009B1D57" w:rsidRDefault="005663F8" w:rsidP="005663F8">
      <w:pPr>
        <w:ind w:left="720"/>
        <w:rPr>
          <w:rFonts w:ascii="Verdana" w:hAnsi="Verdana"/>
          <w:bCs/>
          <w:color w:val="000000"/>
          <w:sz w:val="17"/>
          <w:szCs w:val="17"/>
        </w:rPr>
      </w:pPr>
      <w:r w:rsidRPr="009B1D57">
        <w:rPr>
          <w:rFonts w:ascii="Times New Roman" w:hAnsi="Times New Roman"/>
          <w:bCs/>
          <w:color w:val="000000"/>
          <w:sz w:val="20"/>
          <w:szCs w:val="20"/>
        </w:rPr>
        <w:t>2.01(5)(b)2-</w:t>
      </w:r>
    </w:p>
    <w:p w14:paraId="475E4987" w14:textId="77777777" w:rsidR="005663F8" w:rsidRPr="009B1D57" w:rsidRDefault="005663F8" w:rsidP="005663F8">
      <w:pPr>
        <w:ind w:left="720"/>
        <w:rPr>
          <w:rFonts w:ascii="Verdana" w:hAnsi="Verdana"/>
          <w:bCs/>
          <w:color w:val="000000"/>
          <w:sz w:val="17"/>
          <w:szCs w:val="17"/>
        </w:rPr>
      </w:pPr>
      <w:r w:rsidRPr="009B1D57">
        <w:rPr>
          <w:rFonts w:ascii="Times New Roman" w:hAnsi="Times New Roman"/>
          <w:bCs/>
          <w:color w:val="000000"/>
          <w:sz w:val="20"/>
          <w:szCs w:val="20"/>
        </w:rPr>
        <w:t>Any member of the ASM body that knowingly, intentionally, or willfully violates 2.01(5)(a) may be removed for one fiscal year by a majority vote by the members of that ASM body.</w:t>
      </w:r>
    </w:p>
    <w:p w14:paraId="0737971D" w14:textId="77777777" w:rsidR="005663F8" w:rsidRPr="00BD5B9D" w:rsidRDefault="005663F8" w:rsidP="005663F8">
      <w:pPr>
        <w:rPr>
          <w:rFonts w:ascii="Times New Roman" w:hAnsi="Times New Roman"/>
        </w:rPr>
      </w:pPr>
    </w:p>
    <w:p w14:paraId="7AACE98E" w14:textId="77777777" w:rsidR="005663F8" w:rsidRPr="00787904" w:rsidRDefault="005663F8" w:rsidP="005663F8">
      <w:pPr>
        <w:rPr>
          <w:rFonts w:ascii="Times New Roman" w:hAnsi="Times New Roman"/>
          <w:b/>
          <w:bCs/>
        </w:rPr>
      </w:pPr>
      <w:r w:rsidRPr="00787904">
        <w:rPr>
          <w:rFonts w:ascii="Times New Roman" w:hAnsi="Times New Roman"/>
          <w:b/>
          <w:bCs/>
        </w:rPr>
        <w:t xml:space="preserve">We, the representative(s) or member(s) of a GSSF-funded organization, and member(s) of the ASM Student Services Finance Committee  /  ASM </w:t>
      </w:r>
      <w:r>
        <w:rPr>
          <w:rFonts w:ascii="Times New Roman" w:hAnsi="Times New Roman"/>
          <w:b/>
          <w:bCs/>
        </w:rPr>
        <w:t>Grant Allocation Committee</w:t>
      </w:r>
      <w:r w:rsidRPr="00787904">
        <w:rPr>
          <w:rFonts w:ascii="Times New Roman" w:hAnsi="Times New Roman"/>
          <w:b/>
          <w:bCs/>
        </w:rPr>
        <w:t xml:space="preserve">  /  ASM Student Council, do hereby officially disclose that a discussion regarding the funding or eligibility of the GSSF</w:t>
      </w:r>
      <w:r>
        <w:rPr>
          <w:rFonts w:ascii="Times New Roman" w:hAnsi="Times New Roman"/>
          <w:b/>
          <w:bCs/>
        </w:rPr>
        <w:t xml:space="preserve"> </w:t>
      </w:r>
      <w:r w:rsidRPr="00787904">
        <w:rPr>
          <w:rFonts w:ascii="Times New Roman" w:hAnsi="Times New Roman"/>
          <w:b/>
          <w:bCs/>
        </w:rPr>
        <w:t>group mentioned below took place on the date</w:t>
      </w:r>
      <w:r>
        <w:rPr>
          <w:rFonts w:ascii="Times New Roman" w:hAnsi="Times New Roman"/>
          <w:b/>
          <w:bCs/>
        </w:rPr>
        <w:t>(s)</w:t>
      </w:r>
      <w:r w:rsidRPr="00787904">
        <w:rPr>
          <w:rFonts w:ascii="Times New Roman" w:hAnsi="Times New Roman"/>
          <w:b/>
          <w:bCs/>
        </w:rPr>
        <w:t xml:space="preserve"> listed.</w:t>
      </w:r>
    </w:p>
    <w:p w14:paraId="5688EB5D" w14:textId="77777777" w:rsidR="005663F8" w:rsidRDefault="005663F8" w:rsidP="005663F8">
      <w:pPr>
        <w:rPr>
          <w:rFonts w:ascii="Times New Roman" w:hAnsi="Times New Roman"/>
          <w:bCs/>
        </w:rPr>
      </w:pPr>
    </w:p>
    <w:p w14:paraId="5DBA3583" w14:textId="77777777" w:rsidR="005663F8" w:rsidRDefault="005663F8" w:rsidP="005663F8">
      <w:pPr>
        <w:rPr>
          <w:rFonts w:ascii="Times New Roman" w:hAnsi="Times New Roman"/>
          <w:bCs/>
          <w:u w:val="single"/>
        </w:rPr>
      </w:pPr>
      <w:r>
        <w:rPr>
          <w:rFonts w:ascii="Times New Roman" w:hAnsi="Times New Roman"/>
          <w:bCs/>
        </w:rPr>
        <w:t xml:space="preserve">Name of GSSF Group:  </w:t>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rPr>
        <w:tab/>
        <w:t>Date:</w:t>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p>
    <w:p w14:paraId="4BA3BD8D" w14:textId="77777777" w:rsidR="005663F8" w:rsidRDefault="005663F8" w:rsidP="005663F8">
      <w:pPr>
        <w:rPr>
          <w:rFonts w:ascii="Times New Roman" w:hAnsi="Times New Roman"/>
          <w:bCs/>
        </w:rPr>
      </w:pPr>
    </w:p>
    <w:p w14:paraId="63ABB7B1" w14:textId="77777777" w:rsidR="005663F8" w:rsidRDefault="005663F8" w:rsidP="005663F8">
      <w:pPr>
        <w:rPr>
          <w:rFonts w:ascii="Times New Roman" w:hAnsi="Times New Roman"/>
          <w:bCs/>
        </w:rPr>
      </w:pPr>
      <w:r>
        <w:rPr>
          <w:rFonts w:ascii="Times New Roman" w:hAnsi="Times New Roman"/>
          <w:bCs/>
        </w:rPr>
        <w:t>Mode of Communication (please circle all that apply):</w:t>
      </w:r>
    </w:p>
    <w:p w14:paraId="4DB2E99A" w14:textId="77777777" w:rsidR="005663F8" w:rsidRDefault="005663F8" w:rsidP="005663F8">
      <w:pPr>
        <w:rPr>
          <w:rFonts w:ascii="Times New Roman" w:hAnsi="Times New Roman"/>
          <w:bCs/>
        </w:rPr>
      </w:pPr>
    </w:p>
    <w:p w14:paraId="63B88CCA" w14:textId="77777777" w:rsidR="005663F8" w:rsidRDefault="005663F8" w:rsidP="005663F8">
      <w:pPr>
        <w:rPr>
          <w:rFonts w:ascii="Times New Roman" w:hAnsi="Times New Roman"/>
          <w:bCs/>
        </w:rPr>
      </w:pPr>
      <w:r>
        <w:rPr>
          <w:rFonts w:ascii="Times New Roman" w:hAnsi="Times New Roman"/>
          <w:bCs/>
        </w:rPr>
        <w:t>Phone</w:t>
      </w:r>
      <w:r>
        <w:rPr>
          <w:rFonts w:ascii="Times New Roman" w:hAnsi="Times New Roman"/>
          <w:bCs/>
        </w:rPr>
        <w:tab/>
      </w:r>
      <w:r>
        <w:rPr>
          <w:rFonts w:ascii="Times New Roman" w:hAnsi="Times New Roman"/>
          <w:bCs/>
        </w:rPr>
        <w:tab/>
        <w:t>Face to face</w:t>
      </w:r>
      <w:r>
        <w:rPr>
          <w:rFonts w:ascii="Times New Roman" w:hAnsi="Times New Roman"/>
          <w:bCs/>
        </w:rPr>
        <w:tab/>
      </w:r>
      <w:r>
        <w:rPr>
          <w:rFonts w:ascii="Times New Roman" w:hAnsi="Times New Roman"/>
          <w:bCs/>
        </w:rPr>
        <w:tab/>
        <w:t>Email</w:t>
      </w:r>
      <w:r>
        <w:rPr>
          <w:rFonts w:ascii="Times New Roman" w:hAnsi="Times New Roman"/>
          <w:bCs/>
        </w:rPr>
        <w:tab/>
      </w:r>
      <w:r>
        <w:rPr>
          <w:rFonts w:ascii="Times New Roman" w:hAnsi="Times New Roman"/>
          <w:bCs/>
        </w:rPr>
        <w:tab/>
        <w:t>Other (specify):</w:t>
      </w:r>
    </w:p>
    <w:p w14:paraId="39FE050A" w14:textId="77777777" w:rsidR="005663F8" w:rsidRPr="00AE025C" w:rsidRDefault="005663F8" w:rsidP="005663F8">
      <w:pPr>
        <w:rPr>
          <w:rFonts w:ascii="Times New Roman" w:hAnsi="Times New Roman"/>
          <w:bCs/>
          <w:u w:val="single"/>
        </w:rPr>
      </w:pPr>
    </w:p>
    <w:p w14:paraId="61141A6F" w14:textId="77777777" w:rsidR="005663F8" w:rsidRDefault="005663F8" w:rsidP="005663F8">
      <w:pPr>
        <w:rPr>
          <w:rFonts w:ascii="Times New Roman" w:hAnsi="Times New Roman"/>
          <w:bCs/>
        </w:rPr>
      </w:pPr>
    </w:p>
    <w:p w14:paraId="5B47114E" w14:textId="77777777" w:rsidR="005663F8" w:rsidRDefault="005663F8" w:rsidP="005663F8">
      <w:pPr>
        <w:rPr>
          <w:rFonts w:ascii="Times New Roman" w:hAnsi="Times New Roman"/>
          <w:bCs/>
        </w:rPr>
      </w:pPr>
      <w:r>
        <w:rPr>
          <w:rFonts w:ascii="Times New Roman" w:hAnsi="Times New Roman"/>
          <w:bCs/>
        </w:rPr>
        <w:t>Name(s) and initials of GSSF Group Member(s):</w:t>
      </w:r>
    </w:p>
    <w:p w14:paraId="506FB646" w14:textId="77777777" w:rsidR="005663F8" w:rsidRDefault="005663F8" w:rsidP="005663F8">
      <w:pPr>
        <w:rPr>
          <w:rFonts w:ascii="Times New Roman" w:hAnsi="Times New Roman"/>
          <w:bCs/>
        </w:rPr>
      </w:pPr>
    </w:p>
    <w:p w14:paraId="68B08C92" w14:textId="77777777" w:rsidR="005663F8" w:rsidRDefault="005663F8" w:rsidP="005663F8">
      <w:pPr>
        <w:rPr>
          <w:rFonts w:ascii="Times New Roman" w:hAnsi="Times New Roman"/>
          <w:bCs/>
          <w:u w:val="single"/>
        </w:rPr>
      </w:pP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p>
    <w:p w14:paraId="580DA184" w14:textId="77777777" w:rsidR="005663F8" w:rsidRDefault="005663F8" w:rsidP="005663F8">
      <w:pPr>
        <w:rPr>
          <w:rFonts w:ascii="Times New Roman" w:hAnsi="Times New Roman"/>
          <w:bCs/>
          <w:u w:val="single"/>
        </w:rPr>
      </w:pPr>
    </w:p>
    <w:p w14:paraId="1DFA350C" w14:textId="77777777" w:rsidR="005663F8" w:rsidRDefault="005663F8" w:rsidP="005663F8">
      <w:pPr>
        <w:rPr>
          <w:rFonts w:ascii="Times New Roman" w:hAnsi="Times New Roman"/>
          <w:bCs/>
          <w:u w:val="single"/>
        </w:rPr>
      </w:pP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p>
    <w:p w14:paraId="22D1DD03" w14:textId="77777777" w:rsidR="005663F8" w:rsidRDefault="005663F8" w:rsidP="005663F8">
      <w:pPr>
        <w:rPr>
          <w:rFonts w:ascii="Times New Roman" w:hAnsi="Times New Roman"/>
          <w:bCs/>
          <w:u w:val="single"/>
        </w:rPr>
      </w:pPr>
    </w:p>
    <w:p w14:paraId="681872C9" w14:textId="77777777" w:rsidR="005663F8" w:rsidRDefault="005663F8" w:rsidP="005663F8">
      <w:pPr>
        <w:rPr>
          <w:rFonts w:ascii="Times New Roman" w:hAnsi="Times New Roman"/>
          <w:bCs/>
        </w:rPr>
      </w:pPr>
      <w:r>
        <w:rPr>
          <w:rFonts w:ascii="Times New Roman" w:hAnsi="Times New Roman"/>
          <w:bCs/>
        </w:rPr>
        <w:t>Name(s) and initials of ASM Member(s):</w:t>
      </w:r>
    </w:p>
    <w:p w14:paraId="0CF879CA" w14:textId="77777777" w:rsidR="005663F8" w:rsidRDefault="005663F8" w:rsidP="005663F8">
      <w:pPr>
        <w:rPr>
          <w:rFonts w:ascii="Times New Roman" w:hAnsi="Times New Roman"/>
          <w:bCs/>
        </w:rPr>
      </w:pPr>
    </w:p>
    <w:p w14:paraId="3364FC05" w14:textId="77777777" w:rsidR="005663F8" w:rsidRDefault="005663F8" w:rsidP="005663F8">
      <w:pPr>
        <w:rPr>
          <w:rFonts w:ascii="Times New Roman" w:hAnsi="Times New Roman"/>
          <w:bCs/>
          <w:u w:val="single"/>
        </w:rPr>
      </w:pP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p>
    <w:p w14:paraId="44252A27" w14:textId="77777777" w:rsidR="005663F8" w:rsidRDefault="005663F8" w:rsidP="005663F8">
      <w:pPr>
        <w:rPr>
          <w:rFonts w:ascii="Times New Roman" w:hAnsi="Times New Roman"/>
          <w:bCs/>
          <w:u w:val="single"/>
        </w:rPr>
      </w:pPr>
    </w:p>
    <w:p w14:paraId="60CEE7F1" w14:textId="77777777" w:rsidR="005663F8" w:rsidRDefault="005663F8" w:rsidP="005663F8">
      <w:pPr>
        <w:rPr>
          <w:rFonts w:ascii="Times New Roman" w:hAnsi="Times New Roman"/>
          <w:bCs/>
          <w:u w:val="single"/>
        </w:rPr>
      </w:pP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p>
    <w:p w14:paraId="7CA4F737" w14:textId="77777777" w:rsidR="005663F8" w:rsidRDefault="005663F8" w:rsidP="005663F8">
      <w:pPr>
        <w:rPr>
          <w:rFonts w:ascii="Times New Roman" w:hAnsi="Times New Roman"/>
          <w:bCs/>
          <w:u w:val="single"/>
        </w:rPr>
      </w:pPr>
    </w:p>
    <w:p w14:paraId="5FAD040C" w14:textId="77777777" w:rsidR="005663F8" w:rsidRDefault="005663F8" w:rsidP="005663F8">
      <w:pPr>
        <w:rPr>
          <w:rFonts w:ascii="Times New Roman" w:hAnsi="Times New Roman"/>
          <w:bCs/>
        </w:rPr>
      </w:pPr>
    </w:p>
    <w:p w14:paraId="0B811EFF" w14:textId="77777777" w:rsidR="005663F8" w:rsidRDefault="005663F8" w:rsidP="005663F8">
      <w:pPr>
        <w:rPr>
          <w:rFonts w:ascii="Times New Roman" w:hAnsi="Times New Roman"/>
          <w:bCs/>
        </w:rPr>
      </w:pPr>
      <w:r>
        <w:rPr>
          <w:rFonts w:ascii="Times New Roman" w:hAnsi="Times New Roman"/>
          <w:bCs/>
        </w:rPr>
        <w:t>List what Budgetary Line Items or Eligibility Criteria were discussed, and please be as specific as possible:</w:t>
      </w:r>
    </w:p>
    <w:p w14:paraId="738EDFEB" w14:textId="77777777" w:rsidR="005663F8" w:rsidRDefault="005663F8" w:rsidP="005663F8">
      <w:pPr>
        <w:rPr>
          <w:rFonts w:ascii="Times New Roman" w:hAnsi="Times New Roman"/>
          <w:bCs/>
        </w:rPr>
      </w:pPr>
    </w:p>
    <w:p w14:paraId="4B313EEB" w14:textId="77777777" w:rsidR="005663F8" w:rsidRDefault="005663F8" w:rsidP="005663F8">
      <w:pPr>
        <w:rPr>
          <w:rFonts w:ascii="Times New Roman" w:hAnsi="Times New Roman"/>
          <w:bCs/>
          <w:u w:val="single"/>
        </w:rPr>
      </w:pP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p>
    <w:p w14:paraId="3B47A3A6" w14:textId="77777777" w:rsidR="005663F8" w:rsidRDefault="005663F8" w:rsidP="005663F8">
      <w:pPr>
        <w:rPr>
          <w:rFonts w:ascii="Times New Roman" w:hAnsi="Times New Roman"/>
          <w:bCs/>
          <w:u w:val="single"/>
        </w:rPr>
      </w:pPr>
    </w:p>
    <w:p w14:paraId="465DEED2" w14:textId="77777777" w:rsidR="005663F8" w:rsidRDefault="005663F8" w:rsidP="005663F8">
      <w:pPr>
        <w:rPr>
          <w:rFonts w:ascii="Times New Roman" w:hAnsi="Times New Roman"/>
          <w:bCs/>
          <w:u w:val="single"/>
        </w:rPr>
      </w:pP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p>
    <w:p w14:paraId="1C9FCE20" w14:textId="77777777" w:rsidR="005663F8" w:rsidRDefault="005663F8">
      <w:pPr>
        <w:rPr>
          <w:rFonts w:ascii="Times New Roman" w:eastAsia="Times New Roman" w:hAnsi="Times New Roman" w:cs="Times New Roman"/>
        </w:rPr>
      </w:pPr>
    </w:p>
    <w:sectPr w:rsidR="005663F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A317C"/>
    <w:multiLevelType w:val="multilevel"/>
    <w:tmpl w:val="64023E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02A6881"/>
    <w:multiLevelType w:val="multilevel"/>
    <w:tmpl w:val="B46E769A"/>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7DCF2F3A"/>
    <w:multiLevelType w:val="multilevel"/>
    <w:tmpl w:val="1A9A0B64"/>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52E"/>
    <w:rsid w:val="0014552E"/>
    <w:rsid w:val="004021E4"/>
    <w:rsid w:val="005663F8"/>
    <w:rsid w:val="006A7EFB"/>
    <w:rsid w:val="007E6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F462A"/>
  <w15:docId w15:val="{0CA58971-A816-421C-8BF3-51BC08D0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Arial Narrow" w:hAnsi="Arial Narrow" w:cs="Arial Narrow"/>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center"/>
      <w:outlineLvl w:val="0"/>
    </w:pPr>
    <w:rPr>
      <w:b/>
      <w:sz w:val="28"/>
      <w:szCs w:val="28"/>
    </w:rPr>
  </w:style>
  <w:style w:type="paragraph" w:styleId="Heading2">
    <w:name w:val="heading 2"/>
    <w:basedOn w:val="Normal"/>
    <w:next w:val="Normal"/>
    <w:pPr>
      <w:keepNext/>
      <w:tabs>
        <w:tab w:val="left" w:pos="1125"/>
      </w:tabs>
      <w:outlineLvl w:val="1"/>
    </w:pPr>
    <w:rPr>
      <w:b/>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rsid w:val="005663F8"/>
    <w:pPr>
      <w:jc w:val="center"/>
    </w:pPr>
    <w:rPr>
      <w:rFonts w:eastAsia="Times New Roman" w:cs="Times New Roman"/>
      <w:b/>
      <w:bCs/>
    </w:rPr>
  </w:style>
  <w:style w:type="character" w:customStyle="1" w:styleId="BodyTextChar">
    <w:name w:val="Body Text Char"/>
    <w:basedOn w:val="DefaultParagraphFont"/>
    <w:link w:val="BodyText"/>
    <w:rsid w:val="005663F8"/>
    <w:rPr>
      <w:rFonts w:eastAsia="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fc@asm.wisc.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Adam Swanson</dc:creator>
  <cp:lastModifiedBy>Katie M Steigleder</cp:lastModifiedBy>
  <cp:revision>5</cp:revision>
  <dcterms:created xsi:type="dcterms:W3CDTF">2018-09-05T22:06:00Z</dcterms:created>
  <dcterms:modified xsi:type="dcterms:W3CDTF">2020-08-03T14:53:00Z</dcterms:modified>
</cp:coreProperties>
</file>