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FF" w:rsidRPr="00056989" w:rsidRDefault="0044444B" w:rsidP="004444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056989">
        <w:rPr>
          <w:rFonts w:ascii="Times New Roman" w:hAnsi="Times New Roman" w:cs="Times New Roman"/>
          <w:b/>
          <w:sz w:val="22"/>
        </w:rPr>
        <w:t>Comparative Study on Peer Sustainability Programs &amp; Commitments</w:t>
      </w: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r w:rsidRPr="00056989">
        <w:rPr>
          <w:rFonts w:ascii="Times New Roman" w:hAnsi="Times New Roman" w:cs="Times New Roman"/>
          <w:b/>
          <w:i/>
          <w:sz w:val="22"/>
        </w:rPr>
        <w:t xml:space="preserve">Executive Summary </w:t>
      </w: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056989">
        <w:rPr>
          <w:rFonts w:ascii="Times New Roman" w:hAnsi="Times New Roman" w:cs="Times New Roman"/>
          <w:i/>
          <w:sz w:val="22"/>
        </w:rPr>
        <w:t>(For purposes of this analysis, Peer institutions are considered the fourteen Big 10 schools.)</w:t>
      </w: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056989">
        <w:rPr>
          <w:rFonts w:ascii="Times New Roman" w:hAnsi="Times New Roman" w:cs="Times New Roman"/>
          <w:sz w:val="22"/>
          <w:u w:val="single"/>
        </w:rPr>
        <w:t>Climate Commitments</w:t>
      </w:r>
      <w:r w:rsidRPr="00056989">
        <w:rPr>
          <w:rFonts w:ascii="Times New Roman" w:hAnsi="Times New Roman" w:cs="Times New Roman"/>
          <w:sz w:val="22"/>
        </w:rPr>
        <w:t xml:space="preserve"> </w:t>
      </w:r>
      <w:r w:rsidRPr="00056989">
        <w:rPr>
          <w:rFonts w:ascii="Times New Roman" w:hAnsi="Times New Roman" w:cs="Times New Roman"/>
          <w:i/>
          <w:sz w:val="22"/>
        </w:rPr>
        <w:t>(Appendix A)</w:t>
      </w: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 xml:space="preserve">Four institutions have signed the ACUPCC (American College and University President’s Climate Commitment), with varying levels of commitment and goal dates.  </w:t>
      </w:r>
      <w:r w:rsidR="00C016A3">
        <w:rPr>
          <w:rFonts w:ascii="Times New Roman" w:hAnsi="Times New Roman" w:cs="Times New Roman"/>
          <w:sz w:val="22"/>
        </w:rPr>
        <w:t xml:space="preserve">Exact strategies to achieving their commitments are not clearly identified and an examination of </w:t>
      </w:r>
      <w:r w:rsidR="00B16CE1">
        <w:rPr>
          <w:rFonts w:ascii="Times New Roman" w:hAnsi="Times New Roman" w:cs="Times New Roman"/>
          <w:sz w:val="22"/>
        </w:rPr>
        <w:t>efforts</w:t>
      </w:r>
      <w:r w:rsidR="00C016A3">
        <w:rPr>
          <w:rFonts w:ascii="Times New Roman" w:hAnsi="Times New Roman" w:cs="Times New Roman"/>
          <w:sz w:val="22"/>
        </w:rPr>
        <w:t xml:space="preserve"> towards their goals indicates that there has not been much progress.</w:t>
      </w: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056989">
        <w:rPr>
          <w:rFonts w:ascii="Times New Roman" w:hAnsi="Times New Roman" w:cs="Times New Roman"/>
          <w:sz w:val="22"/>
          <w:u w:val="single"/>
        </w:rPr>
        <w:t>STARS Ratings</w:t>
      </w:r>
      <w:r w:rsidRPr="00056989">
        <w:rPr>
          <w:rFonts w:ascii="Times New Roman" w:hAnsi="Times New Roman" w:cs="Times New Roman"/>
          <w:sz w:val="22"/>
        </w:rPr>
        <w:t xml:space="preserve"> </w:t>
      </w:r>
      <w:r w:rsidRPr="00056989">
        <w:rPr>
          <w:rFonts w:ascii="Times New Roman" w:hAnsi="Times New Roman" w:cs="Times New Roman"/>
          <w:i/>
          <w:sz w:val="22"/>
        </w:rPr>
        <w:t>(Appendix B)</w:t>
      </w: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 xml:space="preserve">Twelve institutions have completed the STARS inventory. </w:t>
      </w:r>
    </w:p>
    <w:p w:rsidR="0044444B" w:rsidRPr="00056989" w:rsidRDefault="0044444B" w:rsidP="004444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6 are at Gold</w:t>
      </w:r>
    </w:p>
    <w:p w:rsidR="0044444B" w:rsidRPr="00056989" w:rsidRDefault="0044444B" w:rsidP="004444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3 are at Silver</w:t>
      </w:r>
    </w:p>
    <w:p w:rsidR="0044444B" w:rsidRPr="00056989" w:rsidRDefault="0044444B" w:rsidP="004444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3 have expired ratings</w:t>
      </w: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056989">
        <w:rPr>
          <w:rFonts w:ascii="Times New Roman" w:hAnsi="Times New Roman" w:cs="Times New Roman"/>
          <w:sz w:val="22"/>
          <w:u w:val="single"/>
        </w:rPr>
        <w:t>Social Justice Programs &amp; Attributes</w:t>
      </w:r>
      <w:r w:rsidRPr="00056989">
        <w:rPr>
          <w:rFonts w:ascii="Times New Roman" w:hAnsi="Times New Roman" w:cs="Times New Roman"/>
          <w:i/>
          <w:sz w:val="22"/>
        </w:rPr>
        <w:t xml:space="preserve"> </w:t>
      </w:r>
      <w:r w:rsidR="004C56E5" w:rsidRPr="00056989">
        <w:rPr>
          <w:rFonts w:ascii="Times New Roman" w:hAnsi="Times New Roman" w:cs="Times New Roman"/>
          <w:i/>
          <w:sz w:val="22"/>
        </w:rPr>
        <w:t>(Appendix C)</w:t>
      </w:r>
    </w:p>
    <w:p w:rsidR="001B3C8F" w:rsidRPr="00056989" w:rsidRDefault="001B3C8F" w:rsidP="004444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Social justice encompasses equitable access to:</w:t>
      </w:r>
    </w:p>
    <w:p w:rsidR="001B3C8F" w:rsidRPr="00056989" w:rsidRDefault="001B3C8F" w:rsidP="001B3C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Healthcare</w:t>
      </w:r>
    </w:p>
    <w:p w:rsidR="001B3C8F" w:rsidRPr="00056989" w:rsidRDefault="001B3C8F" w:rsidP="001B3C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Education (</w:t>
      </w:r>
      <w:r w:rsidR="00C43CBA">
        <w:rPr>
          <w:rFonts w:ascii="Times New Roman" w:hAnsi="Times New Roman" w:cs="Times New Roman"/>
          <w:sz w:val="22"/>
        </w:rPr>
        <w:t xml:space="preserve">e. g. </w:t>
      </w:r>
      <w:r w:rsidRPr="00056989">
        <w:rPr>
          <w:rFonts w:ascii="Times New Roman" w:hAnsi="Times New Roman" w:cs="Times New Roman"/>
          <w:sz w:val="22"/>
        </w:rPr>
        <w:t>Bucky’s Promise)</w:t>
      </w:r>
    </w:p>
    <w:p w:rsidR="001B3C8F" w:rsidRPr="00056989" w:rsidRDefault="001B3C8F" w:rsidP="001B3C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Food (</w:t>
      </w:r>
      <w:r w:rsidR="00C43CBA">
        <w:rPr>
          <w:rFonts w:ascii="Times New Roman" w:hAnsi="Times New Roman" w:cs="Times New Roman"/>
          <w:sz w:val="22"/>
        </w:rPr>
        <w:t xml:space="preserve">e. g. </w:t>
      </w:r>
      <w:r w:rsidRPr="00056989">
        <w:rPr>
          <w:rFonts w:ascii="Times New Roman" w:hAnsi="Times New Roman" w:cs="Times New Roman"/>
          <w:sz w:val="22"/>
        </w:rPr>
        <w:t>Open Pantry program for food insecure students)</w:t>
      </w:r>
    </w:p>
    <w:p w:rsidR="001B3C8F" w:rsidRPr="00056989" w:rsidRDefault="001B3C8F" w:rsidP="001B3C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Environmental Resources (e. g. clean air, water,</w:t>
      </w:r>
      <w:r w:rsidR="00C43CBA">
        <w:rPr>
          <w:rFonts w:ascii="Times New Roman" w:hAnsi="Times New Roman" w:cs="Times New Roman"/>
          <w:sz w:val="22"/>
        </w:rPr>
        <w:t xml:space="preserve"> access to</w:t>
      </w:r>
      <w:r w:rsidRPr="00056989">
        <w:rPr>
          <w:rFonts w:ascii="Times New Roman" w:hAnsi="Times New Roman" w:cs="Times New Roman"/>
          <w:sz w:val="22"/>
        </w:rPr>
        <w:t xml:space="preserve"> natur</w:t>
      </w:r>
      <w:r w:rsidR="00C43CBA">
        <w:rPr>
          <w:rFonts w:ascii="Times New Roman" w:hAnsi="Times New Roman" w:cs="Times New Roman"/>
          <w:sz w:val="22"/>
        </w:rPr>
        <w:t>al spaces</w:t>
      </w:r>
      <w:r w:rsidRPr="00056989">
        <w:rPr>
          <w:rFonts w:ascii="Times New Roman" w:hAnsi="Times New Roman" w:cs="Times New Roman"/>
          <w:sz w:val="22"/>
        </w:rPr>
        <w:t>)</w:t>
      </w:r>
    </w:p>
    <w:p w:rsidR="001B3C8F" w:rsidRPr="00056989" w:rsidRDefault="001B3C8F" w:rsidP="001B3C8F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Social justice also incorporates the institution’s impact to supply chains, relationship with the host community and contributions to addressing human rights issues.</w:t>
      </w: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F2072F" w:rsidRPr="00056989" w:rsidRDefault="00F2072F" w:rsidP="00F2072F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056989">
        <w:rPr>
          <w:rFonts w:ascii="Times New Roman" w:hAnsi="Times New Roman" w:cs="Times New Roman"/>
          <w:sz w:val="22"/>
          <w:u w:val="single"/>
        </w:rPr>
        <w:t>Environmental Programs &amp; Attributes</w:t>
      </w:r>
      <w:r w:rsidRPr="0005698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(Appendix C)</w:t>
      </w:r>
    </w:p>
    <w:p w:rsidR="00F2072F" w:rsidRDefault="00F2072F" w:rsidP="00F2072F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The environmental attributes of institutions are the most frequently used sustainability indicators due to the tangible metrics available, primarily in relation to energy consumption.  Many rating &amp; ranki</w:t>
      </w:r>
      <w:r w:rsidR="00C43CBA">
        <w:rPr>
          <w:rFonts w:ascii="Times New Roman" w:hAnsi="Times New Roman" w:cs="Times New Roman"/>
          <w:sz w:val="22"/>
        </w:rPr>
        <w:t>ng systems employ these metrics</w:t>
      </w:r>
      <w:r w:rsidRPr="00056989">
        <w:rPr>
          <w:rFonts w:ascii="Times New Roman" w:hAnsi="Times New Roman" w:cs="Times New Roman"/>
          <w:sz w:val="22"/>
        </w:rPr>
        <w:t xml:space="preserve"> and the UW-Madison will have validated data for comparison </w:t>
      </w:r>
      <w:r w:rsidR="00C43CBA">
        <w:rPr>
          <w:rFonts w:ascii="Times New Roman" w:hAnsi="Times New Roman" w:cs="Times New Roman"/>
          <w:sz w:val="22"/>
        </w:rPr>
        <w:t xml:space="preserve">in the first quarter of </w:t>
      </w:r>
      <w:r w:rsidRPr="00056989">
        <w:rPr>
          <w:rFonts w:ascii="Times New Roman" w:hAnsi="Times New Roman" w:cs="Times New Roman"/>
          <w:sz w:val="22"/>
        </w:rPr>
        <w:t>2019.</w:t>
      </w:r>
    </w:p>
    <w:p w:rsidR="00F2072F" w:rsidRPr="00056989" w:rsidRDefault="00F2072F" w:rsidP="00F2072F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4444B" w:rsidRPr="00056989" w:rsidRDefault="0044444B" w:rsidP="004444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056989">
        <w:rPr>
          <w:rFonts w:ascii="Times New Roman" w:hAnsi="Times New Roman" w:cs="Times New Roman"/>
          <w:sz w:val="22"/>
          <w:u w:val="single"/>
        </w:rPr>
        <w:t>Economic Vitality Programs &amp; Attributes</w:t>
      </w:r>
      <w:r w:rsidRPr="00056989">
        <w:rPr>
          <w:rFonts w:ascii="Times New Roman" w:hAnsi="Times New Roman" w:cs="Times New Roman"/>
          <w:sz w:val="22"/>
        </w:rPr>
        <w:t xml:space="preserve"> </w:t>
      </w:r>
      <w:r w:rsidR="00F2072F">
        <w:rPr>
          <w:rFonts w:ascii="Times New Roman" w:hAnsi="Times New Roman" w:cs="Times New Roman"/>
          <w:i/>
          <w:sz w:val="22"/>
        </w:rPr>
        <w:t>(Appendix D</w:t>
      </w:r>
      <w:r w:rsidR="00103F09" w:rsidRPr="00056989">
        <w:rPr>
          <w:rFonts w:ascii="Times New Roman" w:hAnsi="Times New Roman" w:cs="Times New Roman"/>
          <w:i/>
          <w:sz w:val="22"/>
        </w:rPr>
        <w:t>)</w:t>
      </w:r>
    </w:p>
    <w:p w:rsidR="0044444B" w:rsidRPr="00056989" w:rsidRDefault="00103F09" w:rsidP="004444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Economic impact data is presented in multiple formats</w:t>
      </w:r>
      <w:r w:rsidR="00C43CBA">
        <w:rPr>
          <w:rFonts w:ascii="Times New Roman" w:hAnsi="Times New Roman" w:cs="Times New Roman"/>
          <w:sz w:val="22"/>
        </w:rPr>
        <w:t xml:space="preserve"> across the institutions</w:t>
      </w:r>
      <w:r w:rsidRPr="00056989">
        <w:rPr>
          <w:rFonts w:ascii="Times New Roman" w:hAnsi="Times New Roman" w:cs="Times New Roman"/>
          <w:sz w:val="22"/>
        </w:rPr>
        <w:t>.  For purposes of sustainability, common metrics relate to investment protocols for the endowment</w:t>
      </w:r>
      <w:r w:rsidR="00C43CBA">
        <w:rPr>
          <w:rFonts w:ascii="Times New Roman" w:hAnsi="Times New Roman" w:cs="Times New Roman"/>
          <w:sz w:val="22"/>
        </w:rPr>
        <w:t>s</w:t>
      </w:r>
      <w:r w:rsidRPr="00056989">
        <w:rPr>
          <w:rFonts w:ascii="Times New Roman" w:hAnsi="Times New Roman" w:cs="Times New Roman"/>
          <w:sz w:val="22"/>
        </w:rPr>
        <w:t xml:space="preserve"> of the institution</w:t>
      </w:r>
      <w:r w:rsidR="00C43CBA">
        <w:rPr>
          <w:rFonts w:ascii="Times New Roman" w:hAnsi="Times New Roman" w:cs="Times New Roman"/>
          <w:sz w:val="22"/>
        </w:rPr>
        <w:t>s</w:t>
      </w:r>
      <w:r w:rsidR="00CF6B9F" w:rsidRPr="00056989">
        <w:rPr>
          <w:rFonts w:ascii="Times New Roman" w:hAnsi="Times New Roman" w:cs="Times New Roman"/>
          <w:sz w:val="22"/>
        </w:rPr>
        <w:t>.</w:t>
      </w:r>
      <w:r w:rsidRPr="00056989">
        <w:rPr>
          <w:rFonts w:ascii="Times New Roman" w:hAnsi="Times New Roman" w:cs="Times New Roman"/>
          <w:sz w:val="22"/>
        </w:rPr>
        <w:t xml:space="preserve">  The relative indicators include positive and negative investments, transparency, and committee oversight.</w:t>
      </w:r>
      <w:r w:rsidR="00CF6B9F" w:rsidRPr="00056989">
        <w:rPr>
          <w:rFonts w:ascii="Times New Roman" w:hAnsi="Times New Roman" w:cs="Times New Roman"/>
          <w:sz w:val="22"/>
        </w:rPr>
        <w:t xml:space="preserve">  </w:t>
      </w:r>
    </w:p>
    <w:p w:rsidR="00F2072F" w:rsidRPr="00056989" w:rsidRDefault="00F2072F" w:rsidP="004444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103F09" w:rsidRPr="00056989" w:rsidRDefault="00103F09" w:rsidP="00103F09">
      <w:pPr>
        <w:spacing w:after="0"/>
        <w:rPr>
          <w:rFonts w:ascii="Times New Roman" w:hAnsi="Times New Roman" w:cs="Times New Roman"/>
          <w:b/>
          <w:sz w:val="22"/>
          <w:u w:val="single"/>
        </w:rPr>
      </w:pPr>
      <w:r w:rsidRPr="00056989">
        <w:rPr>
          <w:rFonts w:ascii="Times New Roman" w:hAnsi="Times New Roman" w:cs="Times New Roman"/>
          <w:b/>
          <w:sz w:val="22"/>
          <w:u w:val="single"/>
        </w:rPr>
        <w:t>Opportunities</w:t>
      </w:r>
    </w:p>
    <w:p w:rsidR="00056989" w:rsidRPr="00056989" w:rsidRDefault="00103F09" w:rsidP="00103F09">
      <w:pPr>
        <w:spacing w:after="0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sz w:val="22"/>
        </w:rPr>
        <w:t>The UW-Madison has some of the strongest and most impactful social justice programming and research out of the Big 10.  This is a highly under-reported area in higher education sustainability, yet it has the biggest impact to communities and is easy to relate to</w:t>
      </w:r>
      <w:r w:rsidR="00015B78" w:rsidRPr="00056989">
        <w:rPr>
          <w:rFonts w:ascii="Times New Roman" w:hAnsi="Times New Roman" w:cs="Times New Roman"/>
          <w:sz w:val="22"/>
        </w:rPr>
        <w:t xml:space="preserve"> from an individual perspective</w:t>
      </w:r>
      <w:r w:rsidRPr="00056989">
        <w:rPr>
          <w:rFonts w:ascii="Times New Roman" w:hAnsi="Times New Roman" w:cs="Times New Roman"/>
          <w:sz w:val="22"/>
        </w:rPr>
        <w:t>.  It is recommended that the UW-Madison take a proactive</w:t>
      </w:r>
      <w:r w:rsidR="00CF30C4">
        <w:rPr>
          <w:rFonts w:ascii="Times New Roman" w:hAnsi="Times New Roman" w:cs="Times New Roman"/>
          <w:sz w:val="22"/>
        </w:rPr>
        <w:t xml:space="preserve"> and assertive</w:t>
      </w:r>
      <w:r w:rsidRPr="00056989">
        <w:rPr>
          <w:rFonts w:ascii="Times New Roman" w:hAnsi="Times New Roman" w:cs="Times New Roman"/>
          <w:sz w:val="22"/>
        </w:rPr>
        <w:t xml:space="preserve"> communications approach to highlight this</w:t>
      </w:r>
      <w:r w:rsidR="00015B78" w:rsidRPr="00056989">
        <w:rPr>
          <w:rFonts w:ascii="Times New Roman" w:hAnsi="Times New Roman" w:cs="Times New Roman"/>
          <w:sz w:val="22"/>
        </w:rPr>
        <w:t xml:space="preserve"> work</w:t>
      </w:r>
      <w:r w:rsidR="00CF30C4">
        <w:rPr>
          <w:rFonts w:ascii="Times New Roman" w:hAnsi="Times New Roman" w:cs="Times New Roman"/>
          <w:sz w:val="22"/>
        </w:rPr>
        <w:t xml:space="preserve"> through the lens of campus s</w:t>
      </w:r>
      <w:r w:rsidRPr="00056989">
        <w:rPr>
          <w:rFonts w:ascii="Times New Roman" w:hAnsi="Times New Roman" w:cs="Times New Roman"/>
          <w:sz w:val="22"/>
        </w:rPr>
        <w:t>ustainability.</w:t>
      </w:r>
    </w:p>
    <w:p w:rsidR="00015B78" w:rsidRPr="00056989" w:rsidRDefault="00015B78" w:rsidP="00103F09">
      <w:pPr>
        <w:spacing w:after="0"/>
        <w:rPr>
          <w:rFonts w:ascii="Times New Roman" w:hAnsi="Times New Roman" w:cs="Times New Roman"/>
          <w:sz w:val="22"/>
        </w:rPr>
      </w:pPr>
    </w:p>
    <w:p w:rsidR="00056989" w:rsidRPr="00056989" w:rsidRDefault="00056989" w:rsidP="0044444B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There are numerous awards/certifications/recognitions that the UW-Madison is eligible for, and has the components in place to </w:t>
      </w:r>
      <w:r w:rsidR="00CF30C4">
        <w:rPr>
          <w:rFonts w:ascii="Times New Roman" w:hAnsi="Times New Roman" w:cs="Times New Roman"/>
          <w:sz w:val="22"/>
        </w:rPr>
        <w:t>earn</w:t>
      </w:r>
      <w:r>
        <w:rPr>
          <w:rFonts w:ascii="Times New Roman" w:hAnsi="Times New Roman" w:cs="Times New Roman"/>
          <w:sz w:val="22"/>
        </w:rPr>
        <w:t>, which will provide some additional publicity and talking points to highlight existing programs.</w:t>
      </w:r>
    </w:p>
    <w:p w:rsidR="00056989" w:rsidRDefault="00056989" w:rsidP="0044444B">
      <w:p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</w:p>
    <w:p w:rsidR="004C56E5" w:rsidRPr="00056989" w:rsidRDefault="00FA6584" w:rsidP="004444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056989">
        <w:rPr>
          <w:rFonts w:ascii="Times New Roman" w:hAnsi="Times New Roman" w:cs="Times New Roman"/>
          <w:b/>
          <w:i/>
          <w:sz w:val="22"/>
        </w:rPr>
        <w:t>Special note:</w:t>
      </w:r>
      <w:r w:rsidR="004C56E5" w:rsidRPr="00056989">
        <w:rPr>
          <w:rFonts w:ascii="Times New Roman" w:hAnsi="Times New Roman" w:cs="Times New Roman"/>
          <w:i/>
          <w:sz w:val="22"/>
        </w:rPr>
        <w:t xml:space="preserve">  </w:t>
      </w:r>
      <w:r w:rsidRPr="00056989">
        <w:rPr>
          <w:rFonts w:ascii="Times New Roman" w:hAnsi="Times New Roman" w:cs="Times New Roman"/>
          <w:sz w:val="22"/>
        </w:rPr>
        <w:t xml:space="preserve">April 22, </w:t>
      </w:r>
      <w:r w:rsidR="004C56E5" w:rsidRPr="00056989">
        <w:rPr>
          <w:rFonts w:ascii="Times New Roman" w:hAnsi="Times New Roman" w:cs="Times New Roman"/>
          <w:sz w:val="22"/>
        </w:rPr>
        <w:t>2020 is the 50</w:t>
      </w:r>
      <w:r w:rsidR="004C56E5" w:rsidRPr="00056989">
        <w:rPr>
          <w:rFonts w:ascii="Times New Roman" w:hAnsi="Times New Roman" w:cs="Times New Roman"/>
          <w:sz w:val="22"/>
          <w:vertAlign w:val="superscript"/>
        </w:rPr>
        <w:t>th</w:t>
      </w:r>
      <w:r w:rsidR="004C56E5" w:rsidRPr="00056989">
        <w:rPr>
          <w:rFonts w:ascii="Times New Roman" w:hAnsi="Times New Roman" w:cs="Times New Roman"/>
          <w:sz w:val="22"/>
        </w:rPr>
        <w:t xml:space="preserve"> Anniversary of the creation of Earth Day.  This is an extraordinary opportunity to highlight the contributions of the UW-Madison</w:t>
      </w:r>
      <w:r w:rsidRPr="00056989">
        <w:rPr>
          <w:rFonts w:ascii="Times New Roman" w:hAnsi="Times New Roman" w:cs="Times New Roman"/>
          <w:sz w:val="22"/>
        </w:rPr>
        <w:t xml:space="preserve"> on the global stage.</w:t>
      </w:r>
    </w:p>
    <w:p w:rsidR="00481B50" w:rsidRPr="00056989" w:rsidRDefault="00481B50" w:rsidP="004444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81B50" w:rsidRPr="00056989" w:rsidRDefault="00481B50" w:rsidP="00056989">
      <w:pPr>
        <w:rPr>
          <w:rFonts w:ascii="Times New Roman" w:hAnsi="Times New Roman" w:cs="Times New Roman"/>
          <w:sz w:val="22"/>
        </w:rPr>
        <w:sectPr w:rsidR="00481B50" w:rsidRPr="00056989" w:rsidSect="00056989">
          <w:footerReference w:type="default" r:id="rId7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tbl>
      <w:tblPr>
        <w:tblW w:w="13650" w:type="dxa"/>
        <w:tblLook w:val="04A0" w:firstRow="1" w:lastRow="0" w:firstColumn="1" w:lastColumn="0" w:noHBand="0" w:noVBand="1"/>
      </w:tblPr>
      <w:tblGrid>
        <w:gridCol w:w="10"/>
        <w:gridCol w:w="2600"/>
        <w:gridCol w:w="46"/>
        <w:gridCol w:w="974"/>
        <w:gridCol w:w="1020"/>
        <w:gridCol w:w="390"/>
        <w:gridCol w:w="1690"/>
        <w:gridCol w:w="380"/>
        <w:gridCol w:w="1000"/>
        <w:gridCol w:w="1430"/>
        <w:gridCol w:w="410"/>
        <w:gridCol w:w="1210"/>
        <w:gridCol w:w="1530"/>
        <w:gridCol w:w="960"/>
      </w:tblGrid>
      <w:tr w:rsidR="005970F4" w:rsidRPr="005970F4" w:rsidTr="002B10A7">
        <w:trPr>
          <w:trHeight w:val="300"/>
        </w:trPr>
        <w:tc>
          <w:tcPr>
            <w:tcW w:w="12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lastRenderedPageBreak/>
              <w:t>Appendix A - Climate Commitments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 through American College and University Climate Commitment (ACUPCC)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585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School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70AD4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ACUPCC - Climate Commitment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ACUPCC - Carbon Commitment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ACUPCC - Resilience Commitment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Goal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Baseline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University of Michigan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585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Northwestern University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UW-Madison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600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U of I - Urbana-Champaign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Signed 2016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15% by 2015 30% by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585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Penn State - University Park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585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The Ohio State University - Columbus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Signed 2008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100% by 2050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Michigan State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Purdue-West Lafayette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900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University of Minnesota - Twin Cities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Signed 2008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29% by 2016  49% by 2021  100% by 2050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585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Indiana University-Bloomington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University of Iowa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University of Nebraska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585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Rutgers University-New Brunswick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1367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University of 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Maryland,College</w:t>
            </w:r>
            <w:proofErr w:type="spellEnd"/>
            <w:r w:rsidRPr="0059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 Park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Signed 2007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15% by 2012  25% by 2015  50% by 2020  60% by 2025  100% by 2050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970F4">
              <w:rPr>
                <w:rFonts w:ascii="Times New Roman" w:eastAsia="Times New Roman" w:hAnsi="Times New Roman" w:cs="Times New Roman"/>
                <w:color w:val="000000"/>
                <w:sz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5970F4" w:rsidRPr="005970F4">
              <w:trPr>
                <w:trHeight w:val="30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0F4" w:rsidRPr="005970F4" w:rsidRDefault="005970F4" w:rsidP="00597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:rsidR="005970F4" w:rsidRPr="005970F4" w:rsidRDefault="005970F4" w:rsidP="00597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C43CBA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0F4">
              <w:rPr>
                <w:rFonts w:ascii="Calibri" w:eastAsia="Times New Roman" w:hAnsi="Calibri" w:cs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-3133725</wp:posOffset>
                      </wp:positionH>
                      <wp:positionV relativeFrom="paragraph">
                        <wp:posOffset>125730</wp:posOffset>
                      </wp:positionV>
                      <wp:extent cx="8629650" cy="14001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96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6CE1" w:rsidRDefault="00B16CE1" w:rsidP="005970F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Climate Commitment</w:t>
                                  </w:r>
                                </w:p>
                                <w:p w:rsidR="00B16CE1" w:rsidRDefault="00B16CE1" w:rsidP="005970F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The Climate Commitment integrates carbon neutrality with climate resilience and provides a systems approach to mitigating and adapting to a changing climate.</w:t>
                                  </w:r>
                                </w:p>
                                <w:p w:rsidR="00B16CE1" w:rsidRDefault="00B16CE1" w:rsidP="005970F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Carbon Commitment</w:t>
                                  </w:r>
                                </w:p>
                                <w:p w:rsidR="00B16CE1" w:rsidRDefault="00B16CE1" w:rsidP="005970F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The Carbon Commitment is focused on reducing Greenhouse Gas emissions and achieving carbon neutrality as soon as possible.</w:t>
                                  </w:r>
                                </w:p>
                                <w:p w:rsidR="00B16CE1" w:rsidRDefault="00B16CE1" w:rsidP="005970F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Resilience Commitment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br/>
                                    <w:t>The Resilience Commitment is focused on climate adaptation and community capacity-building to deal with a changing climate and resulting extremes.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46.75pt;margin-top:9.9pt;width:679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" fillcolor="white [3201]" strokecolor="#7f7f7f [1601]">
                      <v:textbox>
                        <w:txbxContent>
                          <w:p w:rsidR="00B16CE1" w:rsidRDefault="00B16CE1" w:rsidP="005970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Climate Commitment</w:t>
                            </w:r>
                          </w:p>
                          <w:p w:rsidR="00B16CE1" w:rsidRDefault="00B16CE1" w:rsidP="005970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The Climate Commitment integrates carbon neutrality with climate resilience and provides a systems approach to mitigating and adapting to a changing climate.</w:t>
                            </w:r>
                          </w:p>
                          <w:p w:rsidR="00B16CE1" w:rsidRDefault="00B16CE1" w:rsidP="005970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Carbon Commitment</w:t>
                            </w:r>
                          </w:p>
                          <w:p w:rsidR="00B16CE1" w:rsidRDefault="00B16CE1" w:rsidP="005970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The Carbon Commitment is focused on reducing Greenhouse Gas emissions and achieving carbon neutrality as soon as possible.</w:t>
                            </w:r>
                          </w:p>
                          <w:p w:rsidR="00B16CE1" w:rsidRDefault="00B16CE1" w:rsidP="005970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Resilience Commitment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br/>
                              <w:t>The Resilience Commitment is focused on climate adaptation and community capacity-building to deal with a changing climate and resulting extremes.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0F4" w:rsidRPr="005970F4" w:rsidTr="002B10A7">
        <w:trPr>
          <w:trHeight w:val="300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F4" w:rsidRPr="005970F4" w:rsidRDefault="005970F4" w:rsidP="0059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86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F2072F">
            <w:pPr>
              <w:spacing w:after="0" w:line="240" w:lineRule="auto"/>
              <w:ind w:left="330" w:hanging="330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eastAsia="Times New Roman" w:hAnsi="Times New Roman" w:cs="Times New Roman"/>
                <w:b/>
                <w:szCs w:val="24"/>
              </w:rPr>
              <w:t>Appendix B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– Sustainable Tracking Assessment and Rating System (STARS)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2019 US News Ranking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Year Founded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STARS Rating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Student Pop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U.S. News 2019 Reported Endowment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32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Northwestern University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1851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Silver (2017)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21,474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7.9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41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University of Michigan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1817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Gold (2018)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46,002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10.8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41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U of I - Urbana-Champaign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1867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Gold (2017)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48,216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1.8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41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UW-Madison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1848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None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43,820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3.8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41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The Ohio State University - Columbus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1870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Gold (2016)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59,837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4.2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32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Purdue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1869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Expired (Silver 2013)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41,573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2.3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59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Rutgers University-New Brunswick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1766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None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49,577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985.5 million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41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Penn State - University Park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1855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Gold (2017)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47,119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2.0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50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 xml:space="preserve">University of </w:t>
            </w:r>
            <w:proofErr w:type="spellStart"/>
            <w:r w:rsidRPr="002B10A7">
              <w:rPr>
                <w:rFonts w:ascii="Times New Roman" w:hAnsi="Times New Roman" w:cs="Times New Roman"/>
                <w:sz w:val="22"/>
              </w:rPr>
              <w:t>Maryland,College</w:t>
            </w:r>
            <w:proofErr w:type="spellEnd"/>
            <w:r w:rsidRPr="002B10A7">
              <w:rPr>
                <w:rFonts w:ascii="Times New Roman" w:hAnsi="Times New Roman" w:cs="Times New Roman"/>
                <w:sz w:val="22"/>
              </w:rPr>
              <w:t xml:space="preserve"> Park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1856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Expired (Gold)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40,521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548.7 million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41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University of Minnesota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1851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Gold (2015)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51,848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3.3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41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Michigan State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1855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Silver (2016)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50,019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3.1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50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Indiana University-Bloomington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1820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Gold (2018)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43,710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1.1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41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University of Iowa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1847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Expired (Gold)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32,166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1.4 Billion</w:t>
            </w:r>
          </w:p>
        </w:tc>
      </w:tr>
      <w:tr w:rsidR="002B10A7" w:rsidRPr="002B10A7" w:rsidTr="002B10A7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0" w:type="dxa"/>
          <w:wAfter w:w="3700" w:type="dxa"/>
          <w:trHeight w:val="416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University of Nebraska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1869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Silver (2018)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26,079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10A7" w:rsidRPr="002B10A7" w:rsidRDefault="002B10A7" w:rsidP="002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0A7">
              <w:rPr>
                <w:rFonts w:ascii="Times New Roman" w:hAnsi="Times New Roman" w:cs="Times New Roman"/>
                <w:sz w:val="22"/>
              </w:rPr>
              <w:t>958 Million</w:t>
            </w:r>
          </w:p>
        </w:tc>
      </w:tr>
    </w:tbl>
    <w:p w:rsidR="00481B50" w:rsidRDefault="00481B50" w:rsidP="004444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F2072F" w:rsidRDefault="00F2072F" w:rsidP="004444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F2072F" w:rsidRDefault="00F2072F" w:rsidP="004444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F2072F" w:rsidRDefault="00F2072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F2072F" w:rsidRDefault="00F2072F" w:rsidP="004444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Appendix C – Sustainability Indicators, Peer Participation Inventory</w:t>
      </w:r>
    </w:p>
    <w:p w:rsidR="00F2072F" w:rsidRDefault="00F2072F" w:rsidP="004444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tbl>
      <w:tblPr>
        <w:tblW w:w="17120" w:type="dxa"/>
        <w:tblLayout w:type="fixed"/>
        <w:tblLook w:val="04A0" w:firstRow="1" w:lastRow="0" w:firstColumn="1" w:lastColumn="0" w:noHBand="0" w:noVBand="1"/>
      </w:tblPr>
      <w:tblGrid>
        <w:gridCol w:w="1845"/>
        <w:gridCol w:w="1097"/>
        <w:gridCol w:w="938"/>
        <w:gridCol w:w="1160"/>
        <w:gridCol w:w="1080"/>
        <w:gridCol w:w="990"/>
        <w:gridCol w:w="1440"/>
        <w:gridCol w:w="1260"/>
        <w:gridCol w:w="1350"/>
        <w:gridCol w:w="1440"/>
        <w:gridCol w:w="1080"/>
        <w:gridCol w:w="1080"/>
        <w:gridCol w:w="2360"/>
      </w:tblGrid>
      <w:tr w:rsidR="00F2072F" w:rsidRPr="00F2072F" w:rsidTr="00F2072F">
        <w:trPr>
          <w:gridAfter w:val="1"/>
          <w:wAfter w:w="2360" w:type="dxa"/>
          <w:trHeight w:val="1187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ACUPCC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Tree Campus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Bike Friendly University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Princeton Review - Green Schools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Sierra Club Cool Schools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 xml:space="preserve">Sustainable Endowments - 2011 Report </w:t>
            </w:r>
          </w:p>
        </w:tc>
        <w:tc>
          <w:tcPr>
            <w:tcW w:w="12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 xml:space="preserve">Fair Labor Association </w:t>
            </w:r>
          </w:p>
        </w:tc>
        <w:tc>
          <w:tcPr>
            <w:tcW w:w="13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Worker's Rights Consortium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Carnegie Community Engagement Designation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sz w:val="22"/>
              </w:rPr>
              <w:t>Campus Compact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NSLVE</w:t>
            </w:r>
          </w:p>
        </w:tc>
      </w:tr>
      <w:tr w:rsidR="00F2072F" w:rsidRPr="00F2072F" w:rsidTr="00F2072F">
        <w:trPr>
          <w:gridAfter w:val="1"/>
          <w:wAfter w:w="2360" w:type="dxa"/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F20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u w:val="single"/>
              </w:rPr>
              <w:t>School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</w:tr>
      <w:tr w:rsidR="00F2072F" w:rsidRPr="00F2072F" w:rsidTr="00C43CBA">
        <w:trPr>
          <w:gridAfter w:val="1"/>
          <w:wAfter w:w="2360" w:type="dxa"/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University of Michigan-Ann Arbor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Silver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#69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C43CBA">
        <w:trPr>
          <w:gridAfter w:val="1"/>
          <w:wAfter w:w="2360" w:type="dxa"/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Northwestern University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Silver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#118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BA6A5C" w:rsidTr="00C43CBA">
        <w:trPr>
          <w:gridAfter w:val="1"/>
          <w:wAfter w:w="2360" w:type="dxa"/>
          <w:trHeight w:val="3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lightGray"/>
              </w:rPr>
              <w:t>UW-Madison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  <w:t>Gold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006100"/>
                <w:sz w:val="22"/>
                <w:highlight w:val="lightGray"/>
              </w:rPr>
              <w:t>No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76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3F3F76"/>
                <w:sz w:val="22"/>
                <w:highlight w:val="lightGray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76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3F3F76"/>
                <w:sz w:val="22"/>
                <w:highlight w:val="lightGray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76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3F3F76"/>
                <w:sz w:val="22"/>
                <w:highlight w:val="lightGray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lightGray"/>
              </w:rPr>
              <w:t>2008, 2015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lightGray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lightGray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BA6A5C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BA6A5C"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lightGray"/>
              </w:rPr>
              <w:t>Yes</w:t>
            </w:r>
          </w:p>
        </w:tc>
      </w:tr>
      <w:tr w:rsidR="00F2072F" w:rsidRPr="00F2072F" w:rsidTr="00C43CBA">
        <w:trPr>
          <w:gridAfter w:val="1"/>
          <w:wAfter w:w="2360" w:type="dxa"/>
          <w:trHeight w:val="6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U of I - Urbana-Champaign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 - Climate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Bronze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#92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F2072F">
        <w:trPr>
          <w:gridAfter w:val="1"/>
          <w:wAfter w:w="2360" w:type="dxa"/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Penn State - University Park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Silver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#62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2008, 2015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F2072F">
        <w:trPr>
          <w:gridAfter w:val="1"/>
          <w:wAfter w:w="2360" w:type="dxa"/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The Ohio State University - Columbus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 - Carbon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Bronze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#54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F2072F">
        <w:trPr>
          <w:gridAfter w:val="1"/>
          <w:wAfter w:w="2360" w:type="dxa"/>
          <w:trHeight w:val="3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Michigan State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Silver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#157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2006, 2015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F2072F">
        <w:trPr>
          <w:gridAfter w:val="1"/>
          <w:wAfter w:w="2360" w:type="dxa"/>
          <w:trHeight w:val="3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Purdue-West Lafayette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Silver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2008, 2015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F2072F">
        <w:trPr>
          <w:gridAfter w:val="1"/>
          <w:wAfter w:w="2360" w:type="dxa"/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University of Minnesota-Twin Cities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 - Carbon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#112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2006, 2015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bookmarkStart w:id="0" w:name="_GoBack"/>
        <w:bookmarkEnd w:id="0"/>
      </w:tr>
      <w:tr w:rsidR="00F2072F" w:rsidRPr="00F2072F" w:rsidTr="00F2072F">
        <w:trPr>
          <w:gridAfter w:val="1"/>
          <w:wAfter w:w="2360" w:type="dxa"/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Indiana University-Bloomington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Silver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#41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F2072F">
        <w:trPr>
          <w:gridAfter w:val="1"/>
          <w:wAfter w:w="2360" w:type="dxa"/>
          <w:trHeight w:val="3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University of Iowa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Silver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F2072F">
        <w:trPr>
          <w:gridAfter w:val="1"/>
          <w:wAfter w:w="2360" w:type="dxa"/>
          <w:trHeight w:val="782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University of Nebraska -Lincoln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Silver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#152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No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C43CBA">
        <w:trPr>
          <w:gridAfter w:val="1"/>
          <w:wAfter w:w="2360" w:type="dxa"/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Rutgers University-New Brunswick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C43CBA">
        <w:trPr>
          <w:gridAfter w:val="1"/>
          <w:wAfter w:w="2360" w:type="dxa"/>
          <w:trHeight w:val="12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lastRenderedPageBreak/>
              <w:t>School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ACUPCC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Tree Campus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Bike Friendly University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Princeton Review - Green Schools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Sierra Club Cool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 xml:space="preserve">Sustainable Endowments - 2011 Report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 xml:space="preserve">Fair Labor Association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Worker's Rights Consortium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Carnegie Community Engagement Designation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sz w:val="22"/>
              </w:rPr>
              <w:t>Campus Compact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NSLVE</w:t>
            </w:r>
          </w:p>
        </w:tc>
      </w:tr>
      <w:tr w:rsidR="00F2072F" w:rsidRPr="00F2072F" w:rsidTr="00C43CBA">
        <w:trPr>
          <w:gridAfter w:val="1"/>
          <w:wAfter w:w="2360" w:type="dxa"/>
          <w:trHeight w:val="93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University of </w:t>
            </w:r>
            <w:proofErr w:type="spellStart"/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Maryland,College</w:t>
            </w:r>
            <w:proofErr w:type="spellEnd"/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Park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 - Carbon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Gold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6100"/>
                <w:sz w:val="22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76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3F3F76"/>
                <w:sz w:val="22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072F" w:rsidRPr="00F2072F" w:rsidRDefault="00F2072F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2072F" w:rsidRPr="00F2072F" w:rsidTr="00F2072F">
        <w:trPr>
          <w:trHeight w:val="300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Carnegie Community Engagement - https://www.brown.edu//swearer/sites/swearer2/files/2010_and_2015_CE_Classified_Institutions.pdf</w:t>
            </w:r>
          </w:p>
        </w:tc>
      </w:tr>
      <w:tr w:rsidR="00F2072F" w:rsidRPr="00F2072F" w:rsidTr="00F2072F">
        <w:trPr>
          <w:trHeight w:val="300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Bike Friendly University - https://bikeleague.org/sites/default/files/BFU_Award_List_2018_ALL.pdf?utm_source=Media&amp;utm_campaign=0f1a9ab4ac-EMAIL_CAMPAIGN_2017_04_05_COPY_01&amp;utm_medium=email&amp;utm_term=0_92e0c078fd-0f1a9ab4ac- </w:t>
            </w:r>
          </w:p>
        </w:tc>
      </w:tr>
      <w:tr w:rsidR="00F2072F" w:rsidRPr="00F2072F" w:rsidTr="00F2072F">
        <w:trPr>
          <w:trHeight w:val="300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Campus Compact - https://compact.org/who-we-are/our-coalition/members/</w:t>
            </w:r>
          </w:p>
        </w:tc>
      </w:tr>
      <w:tr w:rsidR="00F2072F" w:rsidRPr="00F2072F" w:rsidTr="00F2072F">
        <w:trPr>
          <w:trHeight w:val="300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Sustainable Endowments - http://www.greenreportcard.org/report-card-2011.html</w:t>
            </w:r>
          </w:p>
        </w:tc>
      </w:tr>
      <w:tr w:rsidR="00F2072F" w:rsidRPr="00F2072F" w:rsidTr="00F2072F">
        <w:trPr>
          <w:trHeight w:val="300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Princeton Review Guide to Green Schools - https://www.princetonreview.com/college-rankings?rankings=green-colleges&amp;page=10</w:t>
            </w:r>
          </w:p>
        </w:tc>
      </w:tr>
      <w:tr w:rsidR="00F2072F" w:rsidRPr="00F2072F" w:rsidTr="00F2072F">
        <w:trPr>
          <w:trHeight w:val="300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NSLVE (National Study of Learning, Voting, and Engagement) - https://idhe.tufts.edu/nslve</w:t>
            </w:r>
          </w:p>
        </w:tc>
      </w:tr>
      <w:tr w:rsidR="00F2072F" w:rsidRPr="00F2072F" w:rsidTr="00F2072F">
        <w:trPr>
          <w:trHeight w:val="300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72F" w:rsidRPr="00F2072F" w:rsidRDefault="00F2072F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2072F">
              <w:rPr>
                <w:rFonts w:ascii="Times New Roman" w:eastAsia="Times New Roman" w:hAnsi="Times New Roman" w:cs="Times New Roman"/>
                <w:color w:val="000000"/>
                <w:sz w:val="22"/>
              </w:rPr>
              <w:t>Sierra Club Cool Schools - https://www.sierraclub.org/sierra/cool-schools-2018/cool-schools-2018-full-ranking</w:t>
            </w:r>
          </w:p>
        </w:tc>
      </w:tr>
    </w:tbl>
    <w:p w:rsidR="00F2072F" w:rsidRDefault="00F2072F" w:rsidP="004444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F2072F" w:rsidRDefault="00F2072F" w:rsidP="004444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F2072F" w:rsidRDefault="00F2072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F2072F" w:rsidRDefault="00F2072F" w:rsidP="004444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Appendix D – STARS Endowment Indicators</w:t>
      </w:r>
      <w:r w:rsidR="000010FC">
        <w:rPr>
          <w:rFonts w:ascii="Times New Roman" w:hAnsi="Times New Roman" w:cs="Times New Roman"/>
          <w:b/>
          <w:sz w:val="22"/>
        </w:rPr>
        <w:t>.  P</w:t>
      </w:r>
      <w:r w:rsidR="005A7BF0">
        <w:rPr>
          <w:rFonts w:ascii="Times New Roman" w:hAnsi="Times New Roman" w:cs="Times New Roman"/>
          <w:b/>
          <w:sz w:val="22"/>
        </w:rPr>
        <w:t>lanning</w:t>
      </w:r>
      <w:r w:rsidR="000010FC">
        <w:rPr>
          <w:rFonts w:ascii="Times New Roman" w:hAnsi="Times New Roman" w:cs="Times New Roman"/>
          <w:b/>
          <w:sz w:val="22"/>
        </w:rPr>
        <w:t xml:space="preserve"> and Administration Credits (PA)</w:t>
      </w:r>
    </w:p>
    <w:p w:rsidR="00F2072F" w:rsidRDefault="00F2072F" w:rsidP="004444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tbl>
      <w:tblPr>
        <w:tblW w:w="14615" w:type="dxa"/>
        <w:tblLook w:val="04A0" w:firstRow="1" w:lastRow="0" w:firstColumn="1" w:lastColumn="0" w:noHBand="0" w:noVBand="1"/>
      </w:tblPr>
      <w:tblGrid>
        <w:gridCol w:w="1811"/>
        <w:gridCol w:w="1024"/>
        <w:gridCol w:w="1242"/>
        <w:gridCol w:w="1260"/>
        <w:gridCol w:w="1353"/>
        <w:gridCol w:w="2247"/>
        <w:gridCol w:w="1549"/>
        <w:gridCol w:w="1331"/>
        <w:gridCol w:w="1318"/>
        <w:gridCol w:w="1480"/>
      </w:tblGrid>
      <w:tr w:rsidR="000010FC" w:rsidRPr="001D61D4" w:rsidTr="001D61D4">
        <w:trPr>
          <w:trHeight w:val="109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1D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1" w:name="RANGE!A1:M15"/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Big 10 Schools </w:t>
            </w:r>
            <w:bookmarkEnd w:id="1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2019 US News Ranking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STARS Rating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Student Pop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U.S. News 2019 Reported Endowment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STARS Reported Endowment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PA 8 Committee on Investor Responsibility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PA 9 Sustainable Investment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PA 10 Investment Disclosure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Total Investment &amp; Finance Credits </w:t>
            </w:r>
          </w:p>
        </w:tc>
      </w:tr>
      <w:tr w:rsidR="000010FC" w:rsidRPr="00F2072F" w:rsidTr="000010FC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Northwestern University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 (2017)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21,474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9,804,000,000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1.07/4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3.07 out of 7 </w:t>
            </w:r>
          </w:p>
        </w:tc>
      </w:tr>
      <w:tr w:rsidR="000010FC" w:rsidRPr="00F2072F" w:rsidTr="000010FC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(2018)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46,002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10,900,000,000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out of 7 </w:t>
            </w:r>
          </w:p>
        </w:tc>
      </w:tr>
      <w:tr w:rsidR="000010FC" w:rsidRPr="00F2072F" w:rsidTr="000010FC">
        <w:trPr>
          <w:trHeight w:val="6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 of I - Urbana-Champaign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(2017)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48,216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3,231,000,000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.07/4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1.07 out of 7 </w:t>
            </w:r>
          </w:p>
        </w:tc>
      </w:tr>
      <w:tr w:rsidR="000010FC" w:rsidRPr="00F2072F" w:rsidTr="001D61D4">
        <w:trPr>
          <w:trHeight w:val="422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UW-Madison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43,820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10FC" w:rsidRPr="00F2072F" w:rsidTr="000010FC">
        <w:trPr>
          <w:trHeight w:val="6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Ohio State University - Columbus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(2016)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59,837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3,600,000,000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1.68/4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1.68 out of 7 </w:t>
            </w:r>
          </w:p>
        </w:tc>
      </w:tr>
      <w:tr w:rsidR="000010FC" w:rsidRPr="00F2072F" w:rsidTr="000010FC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Purdue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Expired (Silver 2013)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41,573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n/a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10FC" w:rsidRPr="00F2072F" w:rsidTr="000010FC">
        <w:trPr>
          <w:trHeight w:val="6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 University-New Brunswick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49,577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985.5 million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n/a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0010FC" w:rsidRPr="00F2072F" w:rsidTr="000010FC">
        <w:trPr>
          <w:trHeight w:val="6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 State - University Park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(2017)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47,119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3,742,900,000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.84/4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.84 out of 7 </w:t>
            </w:r>
          </w:p>
        </w:tc>
      </w:tr>
      <w:tr w:rsidR="000010FC" w:rsidRPr="00F2072F" w:rsidTr="000010FC">
        <w:trPr>
          <w:trHeight w:val="6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University of </w:t>
            </w:r>
            <w:proofErr w:type="spellStart"/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Maryland,College</w:t>
            </w:r>
            <w:proofErr w:type="spellEnd"/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Expired (Gold)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40,521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548.7 million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n/a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0010FC" w:rsidRPr="00F2072F" w:rsidTr="000010FC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Minnesota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(2015)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51,848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3,164,000,000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.92/4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2.92 out of 7 </w:t>
            </w:r>
          </w:p>
        </w:tc>
      </w:tr>
      <w:tr w:rsidR="000010FC" w:rsidRPr="00F2072F" w:rsidTr="000010FC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Michigan State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 (2016)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50,019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2,145,424,187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out of 7 </w:t>
            </w:r>
          </w:p>
        </w:tc>
      </w:tr>
      <w:tr w:rsidR="000010FC" w:rsidRPr="00F2072F" w:rsidTr="000010FC">
        <w:trPr>
          <w:trHeight w:val="6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Indiana University-Bloomington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(2018)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43,710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1,986,646,000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.13/4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.13 out of 7 </w:t>
            </w:r>
          </w:p>
        </w:tc>
      </w:tr>
      <w:tr w:rsidR="000010FC" w:rsidRPr="00F2072F" w:rsidTr="000010FC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Iowa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Expired (Gold)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32,166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Billion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n/a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0010FC" w:rsidRPr="00F2072F" w:rsidTr="000010FC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Nebraska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 (2018)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26,079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 Million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1,475,000,000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Pursuing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C" w:rsidRPr="001D61D4" w:rsidRDefault="000010FC" w:rsidP="00F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out of 7 </w:t>
            </w:r>
          </w:p>
        </w:tc>
      </w:tr>
    </w:tbl>
    <w:p w:rsidR="00F2072F" w:rsidRPr="00F2072F" w:rsidRDefault="00F2072F" w:rsidP="000010F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sectPr w:rsidR="00F2072F" w:rsidRPr="00F2072F" w:rsidSect="001D61D4">
      <w:pgSz w:w="15840" w:h="12240" w:orient="landscape"/>
      <w:pgMar w:top="720" w:right="907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E1" w:rsidRDefault="00B16CE1" w:rsidP="00CB3F8F">
      <w:pPr>
        <w:spacing w:after="0" w:line="240" w:lineRule="auto"/>
      </w:pPr>
      <w:r>
        <w:separator/>
      </w:r>
    </w:p>
  </w:endnote>
  <w:endnote w:type="continuationSeparator" w:id="0">
    <w:p w:rsidR="00B16CE1" w:rsidRDefault="00B16CE1" w:rsidP="00CB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E1" w:rsidRDefault="00B16CE1">
    <w:pPr>
      <w:pStyle w:val="Footer"/>
      <w:pBdr>
        <w:top w:val="single" w:sz="4" w:space="1" w:color="D9D9D9" w:themeColor="background1" w:themeShade="D9"/>
      </w:pBdr>
      <w:jc w:val="right"/>
    </w:pPr>
    <w:r>
      <w:t>University of Wisconsin-Madison, Sustainability</w:t>
    </w:r>
    <w:r>
      <w:tab/>
    </w:r>
    <w:sdt>
      <w:sdtPr>
        <w:id w:val="6863192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A5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B16CE1" w:rsidRDefault="00B16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E1" w:rsidRDefault="00B16CE1" w:rsidP="00CB3F8F">
      <w:pPr>
        <w:spacing w:after="0" w:line="240" w:lineRule="auto"/>
      </w:pPr>
      <w:r>
        <w:separator/>
      </w:r>
    </w:p>
  </w:footnote>
  <w:footnote w:type="continuationSeparator" w:id="0">
    <w:p w:rsidR="00B16CE1" w:rsidRDefault="00B16CE1" w:rsidP="00CB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1E2C"/>
    <w:multiLevelType w:val="hybridMultilevel"/>
    <w:tmpl w:val="B41C2CCE"/>
    <w:lvl w:ilvl="0" w:tplc="1626287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6"/>
    <w:rsid w:val="000010FC"/>
    <w:rsid w:val="00015B78"/>
    <w:rsid w:val="00023FD2"/>
    <w:rsid w:val="00056989"/>
    <w:rsid w:val="00103F09"/>
    <w:rsid w:val="001B3C8F"/>
    <w:rsid w:val="001D61D4"/>
    <w:rsid w:val="002B10A7"/>
    <w:rsid w:val="0044444B"/>
    <w:rsid w:val="00481B50"/>
    <w:rsid w:val="004C56E5"/>
    <w:rsid w:val="005970F4"/>
    <w:rsid w:val="005A7BF0"/>
    <w:rsid w:val="006D71FF"/>
    <w:rsid w:val="00817EC6"/>
    <w:rsid w:val="0093192D"/>
    <w:rsid w:val="00B16CE1"/>
    <w:rsid w:val="00BA6A5C"/>
    <w:rsid w:val="00BE1628"/>
    <w:rsid w:val="00C016A3"/>
    <w:rsid w:val="00C43CBA"/>
    <w:rsid w:val="00C64AD2"/>
    <w:rsid w:val="00C873D6"/>
    <w:rsid w:val="00CB3F8F"/>
    <w:rsid w:val="00CF30C4"/>
    <w:rsid w:val="00CF6B9F"/>
    <w:rsid w:val="00D62CDE"/>
    <w:rsid w:val="00F2072F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ABBB0A"/>
  <w15:chartTrackingRefBased/>
  <w15:docId w15:val="{43933E97-4D0D-4E1F-9A6E-302A3F6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8F"/>
  </w:style>
  <w:style w:type="paragraph" w:styleId="Footer">
    <w:name w:val="footer"/>
    <w:basedOn w:val="Normal"/>
    <w:link w:val="FooterChar"/>
    <w:uiPriority w:val="99"/>
    <w:unhideWhenUsed/>
    <w:rsid w:val="00CB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8F"/>
  </w:style>
  <w:style w:type="paragraph" w:styleId="BalloonText">
    <w:name w:val="Balloon Text"/>
    <w:basedOn w:val="Normal"/>
    <w:link w:val="BalloonTextChar"/>
    <w:uiPriority w:val="99"/>
    <w:semiHidden/>
    <w:unhideWhenUsed/>
    <w:rsid w:val="00BA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Nergard, Melissa</dc:creator>
  <cp:keywords/>
  <dc:description/>
  <cp:lastModifiedBy>Nergard, Melissa</cp:lastModifiedBy>
  <cp:revision>18</cp:revision>
  <cp:lastPrinted>2018-12-17T18:21:00Z</cp:lastPrinted>
  <dcterms:created xsi:type="dcterms:W3CDTF">2018-12-14T18:37:00Z</dcterms:created>
  <dcterms:modified xsi:type="dcterms:W3CDTF">2018-12-17T21:16:00Z</dcterms:modified>
</cp:coreProperties>
</file>