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4617C" w14:textId="77777777" w:rsidR="00A878A4" w:rsidRDefault="00A878A4" w:rsidP="00A878A4">
      <w:pPr>
        <w:contextualSpacing/>
        <w:jc w:val="center"/>
        <w:rPr>
          <w:sz w:val="28"/>
          <w:szCs w:val="28"/>
        </w:rPr>
      </w:pPr>
      <w:r>
        <w:rPr>
          <w:rFonts w:ascii="Arial" w:hAnsi="Arial" w:cs="Arial"/>
          <w:noProof/>
        </w:rPr>
        <w:drawing>
          <wp:inline distT="0" distB="0" distL="0" distR="0" wp14:anchorId="099E7C5B" wp14:editId="20157053">
            <wp:extent cx="2314575" cy="1283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5740" b="11024"/>
                    <a:stretch/>
                  </pic:blipFill>
                  <pic:spPr bwMode="auto">
                    <a:xfrm>
                      <a:off x="0" y="0"/>
                      <a:ext cx="2333951" cy="12946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10C93E9" w14:textId="52EA62C9" w:rsidR="00D54644" w:rsidRPr="00792F23" w:rsidRDefault="004611FA" w:rsidP="00A878A4">
      <w:pPr>
        <w:contextualSpacing/>
        <w:rPr>
          <w:sz w:val="28"/>
          <w:szCs w:val="28"/>
        </w:rPr>
      </w:pPr>
      <w:r w:rsidRPr="00792F23">
        <w:rPr>
          <w:sz w:val="28"/>
          <w:szCs w:val="28"/>
        </w:rPr>
        <w:t xml:space="preserve">Departments and </w:t>
      </w:r>
      <w:r w:rsidR="00BC2C7F">
        <w:rPr>
          <w:sz w:val="28"/>
          <w:szCs w:val="28"/>
        </w:rPr>
        <w:t>Department-like</w:t>
      </w:r>
      <w:r w:rsidRPr="00792F23">
        <w:rPr>
          <w:sz w:val="28"/>
          <w:szCs w:val="28"/>
        </w:rPr>
        <w:t xml:space="preserve"> Academic Units</w:t>
      </w:r>
    </w:p>
    <w:p w14:paraId="7A931E85" w14:textId="77777777" w:rsidR="004611FA" w:rsidRPr="00792F23" w:rsidRDefault="004611FA">
      <w:pPr>
        <w:contextualSpacing/>
        <w:rPr>
          <w:sz w:val="28"/>
          <w:szCs w:val="28"/>
        </w:rPr>
      </w:pPr>
      <w:r w:rsidRPr="00792F23">
        <w:rPr>
          <w:sz w:val="28"/>
          <w:szCs w:val="28"/>
        </w:rPr>
        <w:t xml:space="preserve">Definition, Privileges, Responsibilities, and Process for Approvals </w:t>
      </w:r>
    </w:p>
    <w:p w14:paraId="7906BC17" w14:textId="6B0BCF14" w:rsidR="00582E45" w:rsidRDefault="00582E45" w:rsidP="00582E45">
      <w:pPr>
        <w:contextualSpacing/>
      </w:pPr>
      <w:r>
        <w:t xml:space="preserve">Draft V </w:t>
      </w:r>
      <w:r w:rsidR="00BC2C7F">
        <w:t>12 26</w:t>
      </w:r>
      <w:r w:rsidR="00161D39">
        <w:t xml:space="preserve"> </w:t>
      </w:r>
      <w:r>
        <w:t>2017</w:t>
      </w:r>
      <w:r w:rsidR="00FB6664">
        <w:t>; Revised Draft 2 17 2018</w:t>
      </w:r>
      <w:r w:rsidR="009A6CA1">
        <w:t>; Revised Draft 3 15 2018</w:t>
      </w:r>
    </w:p>
    <w:p w14:paraId="126AAE3A" w14:textId="77777777" w:rsidR="004611FA" w:rsidRPr="00BC2C7F" w:rsidRDefault="004611FA">
      <w:pPr>
        <w:contextualSpacing/>
        <w:rPr>
          <w:sz w:val="20"/>
          <w:szCs w:val="20"/>
        </w:rPr>
      </w:pPr>
    </w:p>
    <w:p w14:paraId="21AAA1E4" w14:textId="77777777" w:rsidR="004611FA" w:rsidRPr="00582E45" w:rsidRDefault="00792F23">
      <w:pPr>
        <w:contextualSpacing/>
        <w:rPr>
          <w:sz w:val="20"/>
          <w:szCs w:val="20"/>
        </w:rPr>
      </w:pPr>
      <w:r w:rsidRPr="00582E45">
        <w:rPr>
          <w:sz w:val="20"/>
          <w:szCs w:val="20"/>
        </w:rPr>
        <w:t>Current i</w:t>
      </w:r>
      <w:r w:rsidR="00FC0030">
        <w:rPr>
          <w:sz w:val="20"/>
          <w:szCs w:val="20"/>
        </w:rPr>
        <w:t xml:space="preserve">nfo as of Oct 2017: </w:t>
      </w:r>
      <w:hyperlink r:id="rId8" w:history="1">
        <w:r w:rsidR="004611FA" w:rsidRPr="00582E45">
          <w:rPr>
            <w:rStyle w:val="Hyperlink"/>
            <w:sz w:val="20"/>
            <w:szCs w:val="20"/>
          </w:rPr>
          <w:t>https://apir.wisc.edu/academic-planning/academic-departments-and-subject-listings/</w:t>
        </w:r>
      </w:hyperlink>
    </w:p>
    <w:p w14:paraId="2A1171DC" w14:textId="77777777" w:rsidR="004611FA" w:rsidRDefault="004611FA">
      <w:pPr>
        <w:contextualSpacing/>
      </w:pPr>
    </w:p>
    <w:p w14:paraId="7BDA5434" w14:textId="1F8B1BD4" w:rsidR="00A878A4" w:rsidRDefault="00F530E2">
      <w:pPr>
        <w:contextualSpacing/>
        <w:rPr>
          <w:b/>
        </w:rPr>
      </w:pPr>
      <w:r w:rsidRPr="00254144">
        <w:rPr>
          <w:b/>
          <w:noProof/>
        </w:rPr>
        <mc:AlternateContent>
          <mc:Choice Requires="wps">
            <w:drawing>
              <wp:anchor distT="45720" distB="45720" distL="114300" distR="114300" simplePos="0" relativeHeight="251659264" behindDoc="1" locked="0" layoutInCell="1" allowOverlap="1" wp14:anchorId="7182DBA5" wp14:editId="4A53ECAF">
                <wp:simplePos x="0" y="0"/>
                <wp:positionH relativeFrom="column">
                  <wp:posOffset>3158490</wp:posOffset>
                </wp:positionH>
                <wp:positionV relativeFrom="paragraph">
                  <wp:posOffset>5080</wp:posOffset>
                </wp:positionV>
                <wp:extent cx="3495675" cy="498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981575"/>
                        </a:xfrm>
                        <a:prstGeom prst="rect">
                          <a:avLst/>
                        </a:prstGeom>
                        <a:solidFill>
                          <a:srgbClr val="FFFFFF"/>
                        </a:solidFill>
                        <a:ln w="9525">
                          <a:solidFill>
                            <a:srgbClr val="000000"/>
                          </a:solidFill>
                          <a:miter lim="800000"/>
                          <a:headEnd/>
                          <a:tailEnd/>
                        </a:ln>
                      </wps:spPr>
                      <wps:txbx>
                        <w:txbxContent>
                          <w:p w14:paraId="76F5EECF" w14:textId="77777777" w:rsidR="009A6CA1" w:rsidRPr="00792F23" w:rsidRDefault="009A6CA1" w:rsidP="00792F23">
                            <w:pPr>
                              <w:pStyle w:val="NormalWeb"/>
                              <w:textAlignment w:val="baseline"/>
                              <w:rPr>
                                <w:rFonts w:asciiTheme="minorHAnsi" w:hAnsiTheme="minorHAnsi" w:cstheme="minorHAnsi"/>
                                <w:color w:val="494949"/>
                                <w:sz w:val="18"/>
                                <w:szCs w:val="18"/>
                              </w:rPr>
                            </w:pPr>
                            <w:r>
                              <w:rPr>
                                <w:rFonts w:asciiTheme="minorHAnsi" w:hAnsiTheme="minorHAnsi" w:cstheme="minorHAnsi"/>
                                <w:color w:val="494949"/>
                                <w:sz w:val="18"/>
                                <w:szCs w:val="18"/>
                              </w:rPr>
                              <w:t xml:space="preserve">FPP CH </w:t>
                            </w:r>
                            <w:r w:rsidRPr="00792F23">
                              <w:rPr>
                                <w:rFonts w:asciiTheme="minorHAnsi" w:hAnsiTheme="minorHAnsi" w:cstheme="minorHAnsi"/>
                                <w:color w:val="494949"/>
                                <w:sz w:val="18"/>
                                <w:szCs w:val="18"/>
                              </w:rPr>
                              <w:t>5.01. DEPARTMENT.</w:t>
                            </w:r>
                          </w:p>
                          <w:p w14:paraId="53D7770E" w14:textId="77777777" w:rsidR="009A6CA1" w:rsidRPr="00792F23" w:rsidRDefault="009A6CA1" w:rsidP="00792F23">
                            <w:pPr>
                              <w:pStyle w:val="NormalWeb"/>
                              <w:spacing w:before="0" w:after="0"/>
                              <w:textAlignment w:val="baseline"/>
                              <w:rPr>
                                <w:rFonts w:asciiTheme="minorHAnsi" w:hAnsiTheme="minorHAnsi" w:cstheme="minorHAnsi"/>
                                <w:color w:val="494949"/>
                                <w:sz w:val="18"/>
                                <w:szCs w:val="18"/>
                              </w:rPr>
                            </w:pPr>
                            <w:r w:rsidRPr="00792F23">
                              <w:rPr>
                                <w:rFonts w:asciiTheme="minorHAnsi" w:hAnsiTheme="minorHAnsi" w:cstheme="minorHAnsi"/>
                                <w:color w:val="494949"/>
                                <w:sz w:val="18"/>
                                <w:szCs w:val="18"/>
                              </w:rPr>
                              <w:t>A. A department shall consist of a group of faculty members recognized by the faculty and chancellor, and the Board of Regents, as dealing with a common field of knowledge or as having common or closely related scholarly interests. A department shall be created, substantially restructured, or discontinued by the chancellor after consultation with the University Academic Planning Council, subject to the approval of the Board. Substantial restructuring includes, but is not limited to the merger of departments, the transfer of groups of faculty in or out of departments, and the establishment of department-like bodies. The University Academic Planning Council shall not make any recommendations to the chancellor without obtaining and considering the recommendations of the relevant college/school academic planning councils and deans. The school/college academic planning councils will seek recommendations and approval from affected departmental executive committees and affected individuals a minimum of six months in advance of the proposed actions. Recommendations concerning the establishment of new departments or the substantial restructuring or discontinuance of existing departments shall be reported to and discussed by the senate. Criteria applied to restructuring shall be developed </w:t>
                            </w:r>
                            <w:hyperlink r:id="rId9" w:anchor="5.02." w:history="1">
                              <w:r w:rsidRPr="00792F23">
                                <w:rPr>
                                  <w:rStyle w:val="Hyperlink"/>
                                  <w:rFonts w:asciiTheme="minorHAnsi" w:hAnsiTheme="minorHAnsi" w:cstheme="minorHAnsi"/>
                                  <w:color w:val="0479A8"/>
                                  <w:sz w:val="18"/>
                                  <w:szCs w:val="18"/>
                                  <w:bdr w:val="none" w:sz="0" w:space="0" w:color="auto" w:frame="1"/>
                                </w:rPr>
                                <w:t>(5.02.)</w:t>
                              </w:r>
                            </w:hyperlink>
                            <w:r w:rsidRPr="00792F23">
                              <w:rPr>
                                <w:rFonts w:asciiTheme="minorHAnsi" w:hAnsiTheme="minorHAnsi" w:cstheme="minorHAnsi"/>
                                <w:color w:val="494949"/>
                                <w:sz w:val="18"/>
                                <w:szCs w:val="18"/>
                              </w:rPr>
                              <w:t> and related to the missions of the university and relevant schools and colleges.</w:t>
                            </w:r>
                          </w:p>
                          <w:p w14:paraId="0BFF37AB" w14:textId="77777777" w:rsidR="009A6CA1" w:rsidRPr="00792F23" w:rsidRDefault="009A6CA1" w:rsidP="00792F23">
                            <w:pPr>
                              <w:pStyle w:val="NormalWeb"/>
                              <w:textAlignment w:val="baseline"/>
                              <w:rPr>
                                <w:rFonts w:asciiTheme="minorHAnsi" w:hAnsiTheme="minorHAnsi" w:cstheme="minorHAnsi"/>
                                <w:color w:val="494949"/>
                                <w:sz w:val="18"/>
                                <w:szCs w:val="18"/>
                              </w:rPr>
                            </w:pPr>
                            <w:r w:rsidRPr="00792F23">
                              <w:rPr>
                                <w:rFonts w:asciiTheme="minorHAnsi" w:hAnsiTheme="minorHAnsi" w:cstheme="minorHAnsi"/>
                                <w:color w:val="494949"/>
                                <w:sz w:val="18"/>
                                <w:szCs w:val="18"/>
                              </w:rPr>
                              <w:t>B. Other groups may be designated by the chancellor, after consultation with the University Academic Planning Council and subject to approval by the Board, as equivalent to departments for any of the purposes of these rules.</w:t>
                            </w:r>
                          </w:p>
                          <w:p w14:paraId="59075DF5" w14:textId="77777777" w:rsidR="009A6CA1" w:rsidRPr="00792F23" w:rsidRDefault="009A6CA1" w:rsidP="00792F23">
                            <w:pPr>
                              <w:pStyle w:val="NormalWeb"/>
                              <w:textAlignment w:val="baseline"/>
                              <w:rPr>
                                <w:rFonts w:asciiTheme="minorHAnsi" w:hAnsiTheme="minorHAnsi" w:cstheme="minorHAnsi"/>
                                <w:color w:val="494949"/>
                                <w:sz w:val="18"/>
                                <w:szCs w:val="18"/>
                              </w:rPr>
                            </w:pPr>
                            <w:r w:rsidRPr="00792F23">
                              <w:rPr>
                                <w:rFonts w:asciiTheme="minorHAnsi" w:hAnsiTheme="minorHAnsi" w:cstheme="minorHAnsi"/>
                                <w:color w:val="494949"/>
                                <w:sz w:val="18"/>
                                <w:szCs w:val="18"/>
                              </w:rPr>
                              <w:t>C. Schools or colleges defined in 3.01. that are not organized into departments shall operate as departments or may, by vote of the school or college faculty, organize in other ways to fulfill the objectives of this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2DBA5" id="_x0000_t202" coordsize="21600,21600" o:spt="202" path="m,l,21600r21600,l21600,xe">
                <v:stroke joinstyle="miter"/>
                <v:path gradientshapeok="t" o:connecttype="rect"/>
              </v:shapetype>
              <v:shape id="Text Box 2" o:spid="_x0000_s1026" type="#_x0000_t202" style="position:absolute;margin-left:248.7pt;margin-top:.4pt;width:275.25pt;height:39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cJA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">
                <v:textbox>
                  <w:txbxContent>
                    <w:p w14:paraId="76F5EECF" w14:textId="77777777" w:rsidR="009A6CA1" w:rsidRPr="00792F23" w:rsidRDefault="009A6CA1" w:rsidP="00792F23">
                      <w:pPr>
                        <w:pStyle w:val="NormalWeb"/>
                        <w:textAlignment w:val="baseline"/>
                        <w:rPr>
                          <w:rFonts w:asciiTheme="minorHAnsi" w:hAnsiTheme="minorHAnsi" w:cstheme="minorHAnsi"/>
                          <w:color w:val="494949"/>
                          <w:sz w:val="18"/>
                          <w:szCs w:val="18"/>
                        </w:rPr>
                      </w:pPr>
                      <w:r>
                        <w:rPr>
                          <w:rFonts w:asciiTheme="minorHAnsi" w:hAnsiTheme="minorHAnsi" w:cstheme="minorHAnsi"/>
                          <w:color w:val="494949"/>
                          <w:sz w:val="18"/>
                          <w:szCs w:val="18"/>
                        </w:rPr>
                        <w:t xml:space="preserve">FPP CH </w:t>
                      </w:r>
                      <w:r w:rsidRPr="00792F23">
                        <w:rPr>
                          <w:rFonts w:asciiTheme="minorHAnsi" w:hAnsiTheme="minorHAnsi" w:cstheme="minorHAnsi"/>
                          <w:color w:val="494949"/>
                          <w:sz w:val="18"/>
                          <w:szCs w:val="18"/>
                        </w:rPr>
                        <w:t>5.01. DEPARTMENT.</w:t>
                      </w:r>
                    </w:p>
                    <w:p w14:paraId="53D7770E" w14:textId="77777777" w:rsidR="009A6CA1" w:rsidRPr="00792F23" w:rsidRDefault="009A6CA1" w:rsidP="00792F23">
                      <w:pPr>
                        <w:pStyle w:val="NormalWeb"/>
                        <w:spacing w:before="0" w:after="0"/>
                        <w:textAlignment w:val="baseline"/>
                        <w:rPr>
                          <w:rFonts w:asciiTheme="minorHAnsi" w:hAnsiTheme="minorHAnsi" w:cstheme="minorHAnsi"/>
                          <w:color w:val="494949"/>
                          <w:sz w:val="18"/>
                          <w:szCs w:val="18"/>
                        </w:rPr>
                      </w:pPr>
                      <w:r w:rsidRPr="00792F23">
                        <w:rPr>
                          <w:rFonts w:asciiTheme="minorHAnsi" w:hAnsiTheme="minorHAnsi" w:cstheme="minorHAnsi"/>
                          <w:color w:val="494949"/>
                          <w:sz w:val="18"/>
                          <w:szCs w:val="18"/>
                        </w:rPr>
                        <w:t>A. A department shall consist of a group of faculty members recognized by the faculty and chancellor, and the Board of Regents, as dealing with a common field of knowledge or as having common or closely related scholarly interests. A department shall be created, substantially restructured, or discontinued by the chancellor after consultation with the University Academic Planning Council, subject to the approval of the Board. Substantial restructuring includes, but is not limited to the merger of departments, the transfer of groups of faculty in or out of departments, and the establishment of department-like bodies. The University Academic Planning Council shall not make any recommendations to the chancellor without obtaining and considering the recommendations of the relevant college/school academic planning councils and deans. The school/college academic planning councils will seek recommendations and approval from affected departmental executive committees and affected individuals a minimum of six months in advance of the proposed actions. Recommendations concerning the establishment of new departments or the substantial restructuring or discontinuance of existing departments shall be reported to and discussed by the senate. Criteria applied to restructuring shall be developed </w:t>
                      </w:r>
                      <w:hyperlink r:id="rId10" w:anchor="5.02." w:history="1">
                        <w:r w:rsidRPr="00792F23">
                          <w:rPr>
                            <w:rStyle w:val="Hyperlink"/>
                            <w:rFonts w:asciiTheme="minorHAnsi" w:hAnsiTheme="minorHAnsi" w:cstheme="minorHAnsi"/>
                            <w:color w:val="0479A8"/>
                            <w:sz w:val="18"/>
                            <w:szCs w:val="18"/>
                            <w:bdr w:val="none" w:sz="0" w:space="0" w:color="auto" w:frame="1"/>
                          </w:rPr>
                          <w:t>(5.02.)</w:t>
                        </w:r>
                      </w:hyperlink>
                      <w:r w:rsidRPr="00792F23">
                        <w:rPr>
                          <w:rFonts w:asciiTheme="minorHAnsi" w:hAnsiTheme="minorHAnsi" w:cstheme="minorHAnsi"/>
                          <w:color w:val="494949"/>
                          <w:sz w:val="18"/>
                          <w:szCs w:val="18"/>
                        </w:rPr>
                        <w:t> and related to the missions of the university and relevant schools and colleges.</w:t>
                      </w:r>
                    </w:p>
                    <w:p w14:paraId="0BFF37AB" w14:textId="77777777" w:rsidR="009A6CA1" w:rsidRPr="00792F23" w:rsidRDefault="009A6CA1" w:rsidP="00792F23">
                      <w:pPr>
                        <w:pStyle w:val="NormalWeb"/>
                        <w:textAlignment w:val="baseline"/>
                        <w:rPr>
                          <w:rFonts w:asciiTheme="minorHAnsi" w:hAnsiTheme="minorHAnsi" w:cstheme="minorHAnsi"/>
                          <w:color w:val="494949"/>
                          <w:sz w:val="18"/>
                          <w:szCs w:val="18"/>
                        </w:rPr>
                      </w:pPr>
                      <w:r w:rsidRPr="00792F23">
                        <w:rPr>
                          <w:rFonts w:asciiTheme="minorHAnsi" w:hAnsiTheme="minorHAnsi" w:cstheme="minorHAnsi"/>
                          <w:color w:val="494949"/>
                          <w:sz w:val="18"/>
                          <w:szCs w:val="18"/>
                        </w:rPr>
                        <w:t>B. Other groups may be designated by the chancellor, after consultation with the University Academic Planning Council and subject to approval by the Board, as equivalent to departments for any of the purposes of these rules.</w:t>
                      </w:r>
                    </w:p>
                    <w:p w14:paraId="59075DF5" w14:textId="77777777" w:rsidR="009A6CA1" w:rsidRPr="00792F23" w:rsidRDefault="009A6CA1" w:rsidP="00792F23">
                      <w:pPr>
                        <w:pStyle w:val="NormalWeb"/>
                        <w:textAlignment w:val="baseline"/>
                        <w:rPr>
                          <w:rFonts w:asciiTheme="minorHAnsi" w:hAnsiTheme="minorHAnsi" w:cstheme="minorHAnsi"/>
                          <w:color w:val="494949"/>
                          <w:sz w:val="18"/>
                          <w:szCs w:val="18"/>
                        </w:rPr>
                      </w:pPr>
                      <w:r w:rsidRPr="00792F23">
                        <w:rPr>
                          <w:rFonts w:asciiTheme="minorHAnsi" w:hAnsiTheme="minorHAnsi" w:cstheme="minorHAnsi"/>
                          <w:color w:val="494949"/>
                          <w:sz w:val="18"/>
                          <w:szCs w:val="18"/>
                        </w:rPr>
                        <w:t>C. Schools or colleges defined in 3.01. that are not organized into departments shall operate as departments or may, by vote of the school or college faculty, organize in other ways to fulfill the objectives of this chapter.</w:t>
                      </w:r>
                    </w:p>
                  </w:txbxContent>
                </v:textbox>
                <w10:wrap type="square"/>
              </v:shape>
            </w:pict>
          </mc:Fallback>
        </mc:AlternateContent>
      </w:r>
      <w:r w:rsidR="00A878A4">
        <w:rPr>
          <w:b/>
        </w:rPr>
        <w:t>Contents</w:t>
      </w:r>
    </w:p>
    <w:p w14:paraId="01DD414F" w14:textId="77777777" w:rsidR="00A878A4" w:rsidRDefault="00A878A4">
      <w:pPr>
        <w:contextualSpacing/>
        <w:rPr>
          <w:b/>
        </w:rPr>
      </w:pPr>
    </w:p>
    <w:p w14:paraId="201F3544" w14:textId="77777777" w:rsidR="00A878A4" w:rsidRDefault="00A878A4">
      <w:pPr>
        <w:contextualSpacing/>
        <w:rPr>
          <w:b/>
        </w:rPr>
      </w:pPr>
      <w:r>
        <w:rPr>
          <w:b/>
        </w:rPr>
        <w:t xml:space="preserve">Context </w:t>
      </w:r>
    </w:p>
    <w:p w14:paraId="684B22B5" w14:textId="77777777" w:rsidR="00A878A4" w:rsidRDefault="00A878A4">
      <w:pPr>
        <w:contextualSpacing/>
        <w:rPr>
          <w:b/>
        </w:rPr>
      </w:pPr>
      <w:r>
        <w:rPr>
          <w:b/>
        </w:rPr>
        <w:t>Definitions and Key Features</w:t>
      </w:r>
    </w:p>
    <w:p w14:paraId="257F62A8" w14:textId="440D312E" w:rsidR="00A878A4" w:rsidRDefault="00A878A4">
      <w:pPr>
        <w:contextualSpacing/>
        <w:rPr>
          <w:b/>
        </w:rPr>
      </w:pPr>
      <w:r>
        <w:rPr>
          <w:b/>
        </w:rPr>
        <w:t>Table 1. Features of Departments</w:t>
      </w:r>
      <w:r w:rsidR="00161D39">
        <w:rPr>
          <w:b/>
        </w:rPr>
        <w:t xml:space="preserve"> and </w:t>
      </w:r>
      <w:r>
        <w:rPr>
          <w:b/>
        </w:rPr>
        <w:t xml:space="preserve">Department-like </w:t>
      </w:r>
      <w:r w:rsidR="00BC2C7F">
        <w:rPr>
          <w:b/>
        </w:rPr>
        <w:t xml:space="preserve">Academic Units </w:t>
      </w:r>
    </w:p>
    <w:p w14:paraId="22F885E6" w14:textId="77777777" w:rsidR="00A878A4" w:rsidRDefault="00A878A4">
      <w:pPr>
        <w:contextualSpacing/>
        <w:rPr>
          <w:b/>
        </w:rPr>
      </w:pPr>
      <w:r>
        <w:rPr>
          <w:b/>
        </w:rPr>
        <w:t xml:space="preserve">Proposal Guidelines </w:t>
      </w:r>
    </w:p>
    <w:p w14:paraId="33358B3E" w14:textId="77777777" w:rsidR="00F40A10" w:rsidRDefault="00F40A10">
      <w:pPr>
        <w:contextualSpacing/>
        <w:rPr>
          <w:b/>
        </w:rPr>
      </w:pPr>
      <w:r>
        <w:rPr>
          <w:b/>
        </w:rPr>
        <w:t>Approval Steps</w:t>
      </w:r>
    </w:p>
    <w:p w14:paraId="2B32CEF6" w14:textId="77777777" w:rsidR="00F40A10" w:rsidRDefault="00F40A10">
      <w:pPr>
        <w:contextualSpacing/>
        <w:rPr>
          <w:b/>
        </w:rPr>
      </w:pPr>
      <w:r>
        <w:rPr>
          <w:b/>
        </w:rPr>
        <w:t>---</w:t>
      </w:r>
    </w:p>
    <w:p w14:paraId="573A80EB" w14:textId="77777777" w:rsidR="00F40A10" w:rsidRDefault="00F40A10">
      <w:pPr>
        <w:contextualSpacing/>
        <w:rPr>
          <w:b/>
        </w:rPr>
      </w:pPr>
    </w:p>
    <w:p w14:paraId="7A709122" w14:textId="77777777" w:rsidR="00A878A4" w:rsidRDefault="00A878A4">
      <w:pPr>
        <w:contextualSpacing/>
        <w:rPr>
          <w:b/>
        </w:rPr>
      </w:pPr>
      <w:r>
        <w:rPr>
          <w:b/>
        </w:rPr>
        <w:t>Context</w:t>
      </w:r>
    </w:p>
    <w:p w14:paraId="4B7CB66B" w14:textId="77777777" w:rsidR="00A878A4" w:rsidRDefault="00A878A4">
      <w:pPr>
        <w:contextualSpacing/>
        <w:rPr>
          <w:b/>
        </w:rPr>
      </w:pPr>
    </w:p>
    <w:p w14:paraId="0A6F0476" w14:textId="77777777" w:rsidR="004611FA" w:rsidRDefault="00792F23">
      <w:pPr>
        <w:contextualSpacing/>
      </w:pPr>
      <w:r>
        <w:t xml:space="preserve">Academic departments are defined in Chapter 5 of Faculty Policies and Procedures (FPP) </w:t>
      </w:r>
      <w:hyperlink r:id="rId11" w:history="1">
        <w:r w:rsidRPr="00EE6283">
          <w:rPr>
            <w:rStyle w:val="Hyperlink"/>
          </w:rPr>
          <w:t>https://secfac.wisc.edu/governance/faculty-legislation/fpp_ch_5/</w:t>
        </w:r>
      </w:hyperlink>
      <w:r>
        <w:t xml:space="preserve"> </w:t>
      </w:r>
    </w:p>
    <w:p w14:paraId="600AD152" w14:textId="77777777" w:rsidR="00792F23" w:rsidRDefault="00792F23">
      <w:pPr>
        <w:contextualSpacing/>
      </w:pPr>
    </w:p>
    <w:p w14:paraId="1A0D284F" w14:textId="07BE5BCE" w:rsidR="00792F23" w:rsidRDefault="00792F23">
      <w:pPr>
        <w:contextualSpacing/>
      </w:pPr>
      <w:r>
        <w:t xml:space="preserve">FPP </w:t>
      </w:r>
      <w:r w:rsidR="0037321A">
        <w:t xml:space="preserve">Chapter 5 </w:t>
      </w:r>
      <w:r w:rsidR="00A878A4">
        <w:t>sets out guidelines</w:t>
      </w:r>
      <w:r>
        <w:t xml:space="preserve"> for formal departments, and </w:t>
      </w:r>
      <w:r w:rsidR="00A878A4">
        <w:t>“</w:t>
      </w:r>
      <w:r>
        <w:t>other groups as equivalent to departments</w:t>
      </w:r>
      <w:r w:rsidR="00A878A4">
        <w:t>”</w:t>
      </w:r>
      <w:r>
        <w:t xml:space="preserve">.  </w:t>
      </w:r>
      <w:r w:rsidR="00A878A4">
        <w:t>FPP Ch 5 also specifies that d</w:t>
      </w:r>
      <w:r w:rsidR="0037321A">
        <w:t>epartments and other groups equivalent to</w:t>
      </w:r>
      <w:r>
        <w:t xml:space="preserve"> </w:t>
      </w:r>
      <w:r w:rsidR="0037321A">
        <w:t xml:space="preserve">departments </w:t>
      </w:r>
      <w:r w:rsidR="00582E45">
        <w:t xml:space="preserve">are governed in </w:t>
      </w:r>
      <w:r>
        <w:t xml:space="preserve">consultation with the University Academic Planning Council (UAPC), </w:t>
      </w:r>
      <w:r w:rsidR="0037321A">
        <w:t xml:space="preserve">which is </w:t>
      </w:r>
      <w:r w:rsidR="00A878A4">
        <w:t>chaired by the provost (FPP Ch 6.52)</w:t>
      </w:r>
      <w:r w:rsidR="00BC2C7F">
        <w:t>.</w:t>
      </w:r>
    </w:p>
    <w:p w14:paraId="05D0194C" w14:textId="77777777" w:rsidR="00792F23" w:rsidRDefault="00792F23">
      <w:pPr>
        <w:contextualSpacing/>
      </w:pPr>
    </w:p>
    <w:p w14:paraId="605256D1" w14:textId="730E93AA" w:rsidR="00A878A4" w:rsidRDefault="00792F23">
      <w:pPr>
        <w:contextualSpacing/>
      </w:pPr>
      <w:r>
        <w:t xml:space="preserve">This document </w:t>
      </w:r>
      <w:r w:rsidR="00BC2C7F">
        <w:t>fills a policy gap by operationalizing</w:t>
      </w:r>
      <w:r>
        <w:t xml:space="preserve"> the criteria and information </w:t>
      </w:r>
      <w:r w:rsidR="00582E45">
        <w:t xml:space="preserve">that </w:t>
      </w:r>
      <w:r>
        <w:t xml:space="preserve">the UAPC will use in </w:t>
      </w:r>
      <w:r w:rsidR="0037321A">
        <w:t xml:space="preserve">considering department creation, restructuring or discontinuation, and also the creation, restructuring, or discontinuation of </w:t>
      </w:r>
      <w:r w:rsidR="00582E45">
        <w:t xml:space="preserve">department-like units.  </w:t>
      </w:r>
      <w:r w:rsidR="00A878A4">
        <w:t>Such guidance is of value as faculty and deans</w:t>
      </w:r>
      <w:r w:rsidR="00BC2C7F">
        <w:t>’</w:t>
      </w:r>
      <w:r w:rsidR="00A878A4">
        <w:t xml:space="preserve"> offices plan for changes in departmental structures. </w:t>
      </w:r>
    </w:p>
    <w:p w14:paraId="51D981BE" w14:textId="77777777" w:rsidR="00792F23" w:rsidRDefault="00254116">
      <w:pPr>
        <w:contextualSpacing/>
      </w:pPr>
      <w:r>
        <w:t>This document</w:t>
      </w:r>
      <w:r w:rsidR="0037321A">
        <w:t xml:space="preserve"> </w:t>
      </w:r>
      <w:r w:rsidR="00A878A4">
        <w:t xml:space="preserve">also </w:t>
      </w:r>
      <w:r w:rsidR="0037321A">
        <w:t xml:space="preserve">outlines the approval steps for these changes, </w:t>
      </w:r>
      <w:r w:rsidR="00582E45">
        <w:t xml:space="preserve">all </w:t>
      </w:r>
      <w:r w:rsidR="0037321A">
        <w:t>in keeping with FPP Chapter 5.</w:t>
      </w:r>
      <w:r>
        <w:t xml:space="preserve"> </w:t>
      </w:r>
    </w:p>
    <w:p w14:paraId="20532C7E" w14:textId="77777777" w:rsidR="00A878A4" w:rsidRDefault="00A878A4">
      <w:pPr>
        <w:contextualSpacing/>
      </w:pPr>
    </w:p>
    <w:p w14:paraId="31DEA8C7" w14:textId="31FF79AF" w:rsidR="00A878A4" w:rsidRPr="00254144" w:rsidRDefault="00A878A4" w:rsidP="00A878A4">
      <w:pPr>
        <w:contextualSpacing/>
        <w:rPr>
          <w:b/>
        </w:rPr>
      </w:pPr>
      <w:r w:rsidRPr="00254144">
        <w:rPr>
          <w:b/>
        </w:rPr>
        <w:lastRenderedPageBreak/>
        <w:t>Definitions and Key Features</w:t>
      </w:r>
      <w:r>
        <w:rPr>
          <w:b/>
        </w:rPr>
        <w:t xml:space="preserve"> of</w:t>
      </w:r>
      <w:r w:rsidR="00BC2C7F">
        <w:rPr>
          <w:b/>
        </w:rPr>
        <w:t xml:space="preserve"> Departments and Department-l</w:t>
      </w:r>
      <w:r w:rsidR="00F530E2">
        <w:rPr>
          <w:b/>
        </w:rPr>
        <w:t xml:space="preserve">ike </w:t>
      </w:r>
      <w:r w:rsidR="00BC2C7F">
        <w:rPr>
          <w:b/>
        </w:rPr>
        <w:t xml:space="preserve">Academic </w:t>
      </w:r>
      <w:r w:rsidR="00F530E2">
        <w:rPr>
          <w:b/>
        </w:rPr>
        <w:t xml:space="preserve">Units </w:t>
      </w:r>
    </w:p>
    <w:p w14:paraId="45FDAD50" w14:textId="77777777" w:rsidR="0037321A" w:rsidRDefault="0037321A">
      <w:pPr>
        <w:contextualSpacing/>
      </w:pPr>
    </w:p>
    <w:p w14:paraId="443BE68C" w14:textId="68717701" w:rsidR="00BC2C7F" w:rsidRDefault="00533A3A">
      <w:pPr>
        <w:contextualSpacing/>
      </w:pPr>
      <w:r w:rsidDel="00600116">
        <w:t xml:space="preserve">FPP Ch 5 defines the academic department and makes allowance for “other groups equivalent to departments”.   </w:t>
      </w:r>
    </w:p>
    <w:p w14:paraId="63EF452A" w14:textId="7F8F73B3" w:rsidR="00BC2C7F" w:rsidRDefault="00BC2C7F">
      <w:pPr>
        <w:contextualSpacing/>
      </w:pPr>
    </w:p>
    <w:p w14:paraId="3D56A672" w14:textId="07A401BD" w:rsidR="00BC2C7F" w:rsidRDefault="00BC2C7F">
      <w:pPr>
        <w:contextualSpacing/>
      </w:pPr>
      <w:r>
        <w:t xml:space="preserve">This document gives a name to “other groups equivalent to departments” as department-like academic units.  </w:t>
      </w:r>
    </w:p>
    <w:p w14:paraId="39E362D6" w14:textId="4787D596" w:rsidR="00BC2C7F" w:rsidRDefault="00BC2C7F">
      <w:pPr>
        <w:contextualSpacing/>
      </w:pPr>
    </w:p>
    <w:p w14:paraId="4119A393" w14:textId="1B8912E1" w:rsidR="00BC2C7F" w:rsidRDefault="00BC2C7F">
      <w:pPr>
        <w:contextualSpacing/>
      </w:pPr>
      <w:r>
        <w:t xml:space="preserve">This document specifies that a unit that enrolls students in for-credit courses or academic programs is required to be approved as a department or a department-like academic unit.  </w:t>
      </w:r>
    </w:p>
    <w:p w14:paraId="21433018" w14:textId="77777777" w:rsidR="00BC2C7F" w:rsidRDefault="00BC2C7F">
      <w:pPr>
        <w:contextualSpacing/>
      </w:pPr>
    </w:p>
    <w:p w14:paraId="3A104A65" w14:textId="6AA031C9" w:rsidR="005B3966" w:rsidRDefault="00BC2C7F">
      <w:pPr>
        <w:contextualSpacing/>
      </w:pPr>
      <w:r>
        <w:t>Definitions are as follows, and also see Table 1:</w:t>
      </w:r>
    </w:p>
    <w:p w14:paraId="6E1C408A" w14:textId="77777777" w:rsidR="00BC2C7F" w:rsidRDefault="00BC2C7F">
      <w:pPr>
        <w:contextualSpacing/>
      </w:pPr>
    </w:p>
    <w:p w14:paraId="1E02E5BA" w14:textId="5CBC23B5" w:rsidR="0037321A" w:rsidRDefault="0089653F">
      <w:pPr>
        <w:contextualSpacing/>
      </w:pPr>
      <w:r w:rsidRPr="0089653F">
        <w:rPr>
          <w:u w:val="single"/>
        </w:rPr>
        <w:t>Department</w:t>
      </w:r>
      <w:r w:rsidR="0037321A">
        <w:t xml:space="preserve"> (</w:t>
      </w:r>
      <w:r w:rsidR="00BC2C7F">
        <w:t xml:space="preserve">defined in </w:t>
      </w:r>
      <w:r w:rsidR="0037321A">
        <w:t>FPP Ch 5.01.A)</w:t>
      </w:r>
      <w:r w:rsidR="00254116">
        <w:t xml:space="preserve">. </w:t>
      </w:r>
      <w:r w:rsidR="0037321A">
        <w:t xml:space="preserve"> A group of </w:t>
      </w:r>
      <w:r w:rsidR="005B3966">
        <w:t xml:space="preserve">faculty </w:t>
      </w:r>
      <w:r w:rsidR="0037321A">
        <w:t>dealing with a common field of knowledge or closely related scholarly interests.  Departments se</w:t>
      </w:r>
      <w:r w:rsidR="005B3966">
        <w:t xml:space="preserve">rve as tenure homes for faculty, exercise a broad range of functions and duties in relation to faculty academic life, and may also house academic programs and </w:t>
      </w:r>
      <w:r w:rsidR="00AF4756">
        <w:t xml:space="preserve">course </w:t>
      </w:r>
      <w:r w:rsidR="005B3966">
        <w:t xml:space="preserve">Subject listings.  </w:t>
      </w:r>
    </w:p>
    <w:p w14:paraId="7033CCA9" w14:textId="77777777" w:rsidR="005B3966" w:rsidRDefault="005B3966" w:rsidP="005B3966">
      <w:pPr>
        <w:contextualSpacing/>
      </w:pPr>
    </w:p>
    <w:p w14:paraId="028364D8" w14:textId="77777777" w:rsidR="00267EB3" w:rsidRDefault="005B3966" w:rsidP="005B3966">
      <w:pPr>
        <w:contextualSpacing/>
      </w:pPr>
      <w:r w:rsidRPr="0089653F">
        <w:rPr>
          <w:u w:val="single"/>
        </w:rPr>
        <w:t xml:space="preserve">Department-like </w:t>
      </w:r>
      <w:r w:rsidR="00BC2C7F">
        <w:rPr>
          <w:u w:val="single"/>
        </w:rPr>
        <w:t xml:space="preserve">Academic </w:t>
      </w:r>
      <w:r w:rsidRPr="0089653F">
        <w:rPr>
          <w:u w:val="single"/>
        </w:rPr>
        <w:t>Unit</w:t>
      </w:r>
      <w:r w:rsidR="004234B4">
        <w:rPr>
          <w:u w:val="single"/>
        </w:rPr>
        <w:t>; Tenure Home</w:t>
      </w:r>
      <w:r>
        <w:t xml:space="preserve"> (</w:t>
      </w:r>
      <w:r w:rsidR="00BC2C7F">
        <w:t xml:space="preserve">referenced in </w:t>
      </w:r>
      <w:r>
        <w:t>FPP Ch5.01.B, FPP Ch 5.40)</w:t>
      </w:r>
      <w:r w:rsidR="00254116">
        <w:t>.</w:t>
      </w:r>
      <w:r>
        <w:t xml:space="preserve"> </w:t>
      </w:r>
      <w:r w:rsidR="00B0629F" w:rsidRPr="00B0629F">
        <w:t>A group of faculty who are not all in the same department but who share responsibilities for departmental functions</w:t>
      </w:r>
      <w:r w:rsidR="00B0629F">
        <w:t>.  They exercise a broad range of functions and duties in relation to fac</w:t>
      </w:r>
      <w:r w:rsidR="00AF4756">
        <w:t>ulty academic life, and</w:t>
      </w:r>
      <w:r w:rsidR="00B0629F">
        <w:t xml:space="preserve"> house </w:t>
      </w:r>
      <w:r w:rsidR="005F2FC0">
        <w:t xml:space="preserve">at least one academic program </w:t>
      </w:r>
      <w:r w:rsidR="00AF4756">
        <w:t xml:space="preserve">(degree/major or certificate) </w:t>
      </w:r>
      <w:r w:rsidR="005F2FC0">
        <w:t xml:space="preserve">or course </w:t>
      </w:r>
      <w:r w:rsidR="00AF4756">
        <w:t>Subject listing</w:t>
      </w:r>
      <w:r w:rsidR="00B0629F">
        <w:t xml:space="preserve">.  </w:t>
      </w:r>
      <w:r w:rsidR="00F530E2">
        <w:t xml:space="preserve">Department-like </w:t>
      </w:r>
      <w:r w:rsidR="00BC2C7F">
        <w:t xml:space="preserve">academic </w:t>
      </w:r>
      <w:r w:rsidR="00F530E2">
        <w:t>units</w:t>
      </w:r>
      <w:r w:rsidR="00BC2C7F">
        <w:t xml:space="preserve"> </w:t>
      </w:r>
      <w:r w:rsidR="00FB6664">
        <w:t xml:space="preserve">usually </w:t>
      </w:r>
      <w:r w:rsidR="00BC2C7F">
        <w:t>do not serve as tenure homes</w:t>
      </w:r>
      <w:r w:rsidR="00FB6664">
        <w:t>; under certain circumstances they may serve as tenure homes</w:t>
      </w:r>
      <w:r w:rsidR="00BC2C7F">
        <w:t>.</w:t>
      </w:r>
      <w:r w:rsidR="00267EB3">
        <w:t xml:space="preserve">  When department-like academic units serve as tenure homes:</w:t>
      </w:r>
    </w:p>
    <w:p w14:paraId="5BAAD6EA" w14:textId="7A031D6E" w:rsidR="00BC2C7F" w:rsidRDefault="00267EB3" w:rsidP="00267EB3">
      <w:pPr>
        <w:contextualSpacing/>
      </w:pPr>
      <w:r>
        <w:t xml:space="preserve">-faculty may only be hired into the unit on a case-by-case basis approved by the University Committee </w:t>
      </w:r>
    </w:p>
    <w:p w14:paraId="648CF594" w14:textId="562EC033" w:rsidR="00267EB3" w:rsidRDefault="00267EB3" w:rsidP="00267EB3">
      <w:pPr>
        <w:contextualSpacing/>
      </w:pPr>
      <w:r>
        <w:t>-faculty may transfer tenure homes to the department-like academic unit only a case-by-case basis as approved by the University Committee</w:t>
      </w:r>
    </w:p>
    <w:p w14:paraId="481319E0" w14:textId="6BBD4F85" w:rsidR="00267EB3" w:rsidRDefault="00267EB3" w:rsidP="00267EB3">
      <w:pPr>
        <w:contextualSpacing/>
      </w:pPr>
      <w:r>
        <w:t xml:space="preserve">-the department-like unit may be a secondary tenure home without University Committee approval </w:t>
      </w:r>
    </w:p>
    <w:p w14:paraId="04370F2A" w14:textId="35E7F8A4" w:rsidR="00BC2C7F" w:rsidRDefault="00BC2C7F" w:rsidP="005B3966">
      <w:pPr>
        <w:contextualSpacing/>
      </w:pPr>
    </w:p>
    <w:p w14:paraId="1F3A7310" w14:textId="4B1EFCC0" w:rsidR="00BC2C7F" w:rsidRDefault="004234B4" w:rsidP="005B3966">
      <w:pPr>
        <w:contextualSpacing/>
      </w:pPr>
      <w:r w:rsidRPr="004234B4">
        <w:rPr>
          <w:u w:val="single"/>
        </w:rPr>
        <w:t>Department-like Academic Unit; Not a Tenure Home</w:t>
      </w:r>
      <w:r w:rsidRPr="004234B4">
        <w:t xml:space="preserve"> (referenced in FPP Ch5.01.B, FPP Ch 5.40). A group of faculty who are not all in the same department but who share responsibilities for departmental functions.  They exercise a broad range of functions and duties in relation to faculty academic life, and house at least one academic program (degree/major or certificate) or course Subject listing.  </w:t>
      </w:r>
      <w:r w:rsidR="00267EB3">
        <w:t xml:space="preserve">These units do not serve as a tenure home for faculty.  </w:t>
      </w:r>
    </w:p>
    <w:p w14:paraId="421447F2" w14:textId="4A441B9E" w:rsidR="004234B4" w:rsidRDefault="004234B4" w:rsidP="005B3966">
      <w:pPr>
        <w:contextualSpacing/>
      </w:pPr>
    </w:p>
    <w:p w14:paraId="31E46A3F" w14:textId="77777777" w:rsidR="00267EB3" w:rsidRDefault="00267EB3" w:rsidP="005B3966">
      <w:pPr>
        <w:contextualSpacing/>
      </w:pPr>
    </w:p>
    <w:p w14:paraId="16A5A28F" w14:textId="08A37FBF" w:rsidR="002D2E49" w:rsidRDefault="00254116" w:rsidP="005B3966">
      <w:pPr>
        <w:contextualSpacing/>
      </w:pPr>
      <w:r>
        <w:t>Note</w:t>
      </w:r>
      <w:r w:rsidR="00F530E2">
        <w:t xml:space="preserve"> that to meet administrative needs </w:t>
      </w:r>
      <w:r w:rsidR="00FB6664">
        <w:t xml:space="preserve">all </w:t>
      </w:r>
      <w:r w:rsidR="00F530E2">
        <w:t>schools/colleges</w:t>
      </w:r>
      <w:r w:rsidR="00FB6664">
        <w:t xml:space="preserve"> deans offices</w:t>
      </w:r>
      <w:r w:rsidR="00F530E2">
        <w:t xml:space="preserve"> also sometimes function as departments in terms of approving and administering academic programs and subjects.  In addition, s</w:t>
      </w:r>
      <w:r>
        <w:t xml:space="preserve">ome division-level schools are structured </w:t>
      </w:r>
      <w:r w:rsidR="002D2E49">
        <w:t>as a single department with the</w:t>
      </w:r>
      <w:r>
        <w:t xml:space="preserve"> dean serving in the chair role</w:t>
      </w:r>
      <w:r w:rsidR="00FB6664">
        <w:t xml:space="preserve"> (in addition to their dean role)</w:t>
      </w:r>
      <w:r>
        <w:t xml:space="preserve">, and </w:t>
      </w:r>
      <w:r w:rsidR="00F530E2">
        <w:t xml:space="preserve">thus </w:t>
      </w:r>
      <w:r w:rsidR="00AF4756">
        <w:t>have a</w:t>
      </w:r>
      <w:r w:rsidR="00F530E2">
        <w:t xml:space="preserve"> functionally </w:t>
      </w:r>
      <w:r w:rsidR="00BC2C7F">
        <w:t>equivalent</w:t>
      </w:r>
      <w:r w:rsidR="00AF4756">
        <w:t xml:space="preserve"> role</w:t>
      </w:r>
      <w:r w:rsidR="00BC2C7F">
        <w:t xml:space="preserve"> to </w:t>
      </w:r>
      <w:r w:rsidR="00F530E2">
        <w:t xml:space="preserve">departments </w:t>
      </w:r>
      <w:r>
        <w:t xml:space="preserve">under these guidelines. </w:t>
      </w:r>
    </w:p>
    <w:p w14:paraId="7A1FE773" w14:textId="44ED62FE" w:rsidR="00E53AFB" w:rsidRDefault="00E53AFB" w:rsidP="005B3966">
      <w:pPr>
        <w:contextualSpacing/>
      </w:pPr>
    </w:p>
    <w:p w14:paraId="34FF2AE0" w14:textId="77777777" w:rsidR="00E53AFB" w:rsidRDefault="00E53AFB" w:rsidP="005B3966">
      <w:pPr>
        <w:contextualSpacing/>
      </w:pPr>
    </w:p>
    <w:p w14:paraId="3C1CB635" w14:textId="77777777" w:rsidR="00A878A4" w:rsidRDefault="00A878A4">
      <w:r>
        <w:br w:type="page"/>
      </w:r>
    </w:p>
    <w:p w14:paraId="3444CAF0" w14:textId="043FFE20" w:rsidR="00792F23" w:rsidRDefault="00254116">
      <w:pPr>
        <w:contextualSpacing/>
        <w:rPr>
          <w:b/>
        </w:rPr>
      </w:pPr>
      <w:r w:rsidRPr="00A878A4">
        <w:rPr>
          <w:b/>
        </w:rPr>
        <w:lastRenderedPageBreak/>
        <w:t xml:space="preserve">Table 1. </w:t>
      </w:r>
      <w:r w:rsidR="00582E45" w:rsidRPr="00A878A4">
        <w:rPr>
          <w:b/>
        </w:rPr>
        <w:t>Features of Departments</w:t>
      </w:r>
      <w:r w:rsidR="005F2FC0">
        <w:rPr>
          <w:b/>
        </w:rPr>
        <w:t xml:space="preserve"> and Department-like </w:t>
      </w:r>
      <w:r w:rsidR="00BC2C7F">
        <w:rPr>
          <w:b/>
        </w:rPr>
        <w:t xml:space="preserve">Academic </w:t>
      </w:r>
      <w:r w:rsidR="005F2FC0">
        <w:rPr>
          <w:b/>
        </w:rPr>
        <w:t>Units</w:t>
      </w:r>
    </w:p>
    <w:p w14:paraId="6212EDEF" w14:textId="0A95ED7E" w:rsidR="00BC2C7F" w:rsidRDefault="00BC2C7F">
      <w:pPr>
        <w:contextualSpacing/>
        <w:rPr>
          <w:b/>
        </w:rPr>
      </w:pPr>
    </w:p>
    <w:tbl>
      <w:tblPr>
        <w:tblStyle w:val="TableGrid"/>
        <w:tblW w:w="0" w:type="auto"/>
        <w:tblLook w:val="04A0" w:firstRow="1" w:lastRow="0" w:firstColumn="1" w:lastColumn="0" w:noHBand="0" w:noVBand="1"/>
      </w:tblPr>
      <w:tblGrid>
        <w:gridCol w:w="2358"/>
        <w:gridCol w:w="2340"/>
        <w:gridCol w:w="2655"/>
        <w:gridCol w:w="2511"/>
      </w:tblGrid>
      <w:tr w:rsidR="00FB6664" w:rsidRPr="00582E45" w14:paraId="0174EE91" w14:textId="77777777" w:rsidTr="008A2F92">
        <w:tc>
          <w:tcPr>
            <w:tcW w:w="2358" w:type="dxa"/>
          </w:tcPr>
          <w:p w14:paraId="4260CCDB" w14:textId="77777777" w:rsidR="00FB6664" w:rsidRPr="004F0D86" w:rsidRDefault="00FB6664" w:rsidP="009A6CA1">
            <w:pPr>
              <w:contextualSpacing/>
              <w:rPr>
                <w:rFonts w:cstheme="minorHAnsi"/>
                <w:b/>
                <w:sz w:val="20"/>
                <w:szCs w:val="20"/>
              </w:rPr>
            </w:pPr>
            <w:r w:rsidRPr="004F0D86">
              <w:rPr>
                <w:rFonts w:cstheme="minorHAnsi"/>
                <w:b/>
                <w:sz w:val="20"/>
                <w:szCs w:val="20"/>
              </w:rPr>
              <w:t>Feature</w:t>
            </w:r>
          </w:p>
        </w:tc>
        <w:tc>
          <w:tcPr>
            <w:tcW w:w="2340" w:type="dxa"/>
          </w:tcPr>
          <w:p w14:paraId="169FD76F" w14:textId="77777777" w:rsidR="00FB6664" w:rsidRPr="004F0D86" w:rsidRDefault="00FB6664" w:rsidP="009A6CA1">
            <w:pPr>
              <w:contextualSpacing/>
              <w:rPr>
                <w:rFonts w:cstheme="minorHAnsi"/>
                <w:b/>
                <w:sz w:val="20"/>
                <w:szCs w:val="20"/>
              </w:rPr>
            </w:pPr>
            <w:r w:rsidRPr="004F0D86">
              <w:rPr>
                <w:rFonts w:cstheme="minorHAnsi"/>
                <w:b/>
                <w:sz w:val="20"/>
                <w:szCs w:val="20"/>
              </w:rPr>
              <w:t>Department</w:t>
            </w:r>
          </w:p>
        </w:tc>
        <w:tc>
          <w:tcPr>
            <w:tcW w:w="2655" w:type="dxa"/>
          </w:tcPr>
          <w:p w14:paraId="4FB24C1E" w14:textId="52E54223" w:rsidR="00FB6664" w:rsidRDefault="00FB6664" w:rsidP="009A6CA1">
            <w:pPr>
              <w:contextualSpacing/>
              <w:rPr>
                <w:rFonts w:cstheme="minorHAnsi"/>
                <w:b/>
                <w:sz w:val="20"/>
                <w:szCs w:val="20"/>
              </w:rPr>
            </w:pPr>
            <w:r>
              <w:rPr>
                <w:rFonts w:cstheme="minorHAnsi"/>
                <w:b/>
                <w:sz w:val="20"/>
                <w:szCs w:val="20"/>
              </w:rPr>
              <w:t>Department-like academic unit; tenure home</w:t>
            </w:r>
          </w:p>
        </w:tc>
        <w:tc>
          <w:tcPr>
            <w:tcW w:w="2511" w:type="dxa"/>
          </w:tcPr>
          <w:p w14:paraId="0D188A0E" w14:textId="43A6B581" w:rsidR="00FB6664" w:rsidRPr="004F0D86" w:rsidRDefault="00FB6664" w:rsidP="009A6CA1">
            <w:pPr>
              <w:contextualSpacing/>
              <w:rPr>
                <w:rFonts w:cstheme="minorHAnsi"/>
                <w:b/>
                <w:sz w:val="20"/>
                <w:szCs w:val="20"/>
              </w:rPr>
            </w:pPr>
            <w:r>
              <w:rPr>
                <w:rFonts w:cstheme="minorHAnsi"/>
                <w:b/>
                <w:sz w:val="20"/>
                <w:szCs w:val="20"/>
              </w:rPr>
              <w:t>Department-like academic unit; not a tenure home</w:t>
            </w:r>
          </w:p>
        </w:tc>
      </w:tr>
      <w:tr w:rsidR="00991C1C" w:rsidRPr="00582E45" w14:paraId="14993261" w14:textId="77777777" w:rsidTr="008A2F92">
        <w:tc>
          <w:tcPr>
            <w:tcW w:w="2358" w:type="dxa"/>
          </w:tcPr>
          <w:p w14:paraId="295A0263" w14:textId="56A0E536" w:rsidR="00991C1C" w:rsidRDefault="00991C1C" w:rsidP="009A6CA1">
            <w:pPr>
              <w:contextualSpacing/>
              <w:rPr>
                <w:rFonts w:cstheme="minorHAnsi"/>
                <w:sz w:val="20"/>
                <w:szCs w:val="20"/>
              </w:rPr>
            </w:pPr>
            <w:r>
              <w:rPr>
                <w:rFonts w:cstheme="minorHAnsi"/>
                <w:sz w:val="20"/>
                <w:szCs w:val="20"/>
              </w:rPr>
              <w:t>Common Use</w:t>
            </w:r>
          </w:p>
        </w:tc>
        <w:tc>
          <w:tcPr>
            <w:tcW w:w="2340" w:type="dxa"/>
          </w:tcPr>
          <w:p w14:paraId="7D1A544C" w14:textId="6D5924EA" w:rsidR="00991C1C" w:rsidRPr="00582E45" w:rsidRDefault="00991C1C" w:rsidP="009A6CA1">
            <w:pPr>
              <w:contextualSpacing/>
              <w:rPr>
                <w:rFonts w:cstheme="minorHAnsi"/>
                <w:sz w:val="20"/>
                <w:szCs w:val="20"/>
              </w:rPr>
            </w:pPr>
            <w:r>
              <w:rPr>
                <w:rFonts w:cstheme="minorHAnsi"/>
                <w:sz w:val="20"/>
                <w:szCs w:val="20"/>
              </w:rPr>
              <w:t xml:space="preserve">Regular department that serves as a tenure home and offers courses and academic programs to enrolling students, supports the research/scholarship and outreach missions of the university.  </w:t>
            </w:r>
          </w:p>
        </w:tc>
        <w:tc>
          <w:tcPr>
            <w:tcW w:w="2655" w:type="dxa"/>
          </w:tcPr>
          <w:p w14:paraId="63A725E0" w14:textId="77777777" w:rsidR="00991C1C" w:rsidRDefault="00991C1C" w:rsidP="009A6CA1">
            <w:pPr>
              <w:contextualSpacing/>
              <w:rPr>
                <w:rFonts w:cstheme="minorHAnsi"/>
                <w:sz w:val="20"/>
                <w:szCs w:val="20"/>
              </w:rPr>
            </w:pPr>
            <w:r>
              <w:rPr>
                <w:rFonts w:cstheme="minorHAnsi"/>
                <w:sz w:val="20"/>
                <w:szCs w:val="20"/>
              </w:rPr>
              <w:t xml:space="preserve">Used in rare cases when academic priorities are best served by a unit that is a tenure home to a small number of faculty; majority of faculty associated with the unit would be joint appointments.  Typically interdisciplinary, or emerging or declining discipline.  </w:t>
            </w:r>
          </w:p>
          <w:p w14:paraId="7620DA9F" w14:textId="3DFBC48C" w:rsidR="00991C1C" w:rsidRDefault="00991C1C" w:rsidP="009A6CA1">
            <w:pPr>
              <w:contextualSpacing/>
              <w:rPr>
                <w:rFonts w:cstheme="minorHAnsi"/>
                <w:sz w:val="20"/>
                <w:szCs w:val="20"/>
              </w:rPr>
            </w:pPr>
            <w:r>
              <w:rPr>
                <w:rFonts w:cstheme="minorHAnsi"/>
                <w:sz w:val="20"/>
                <w:szCs w:val="20"/>
              </w:rPr>
              <w:t xml:space="preserve">Requires University Committee approval in addition to standard governance path.  </w:t>
            </w:r>
          </w:p>
        </w:tc>
        <w:tc>
          <w:tcPr>
            <w:tcW w:w="2511" w:type="dxa"/>
          </w:tcPr>
          <w:p w14:paraId="656FFF12" w14:textId="39088E93" w:rsidR="00991C1C" w:rsidRPr="00582E45" w:rsidRDefault="00991C1C" w:rsidP="009A6CA1">
            <w:pPr>
              <w:contextualSpacing/>
              <w:rPr>
                <w:rFonts w:cstheme="minorHAnsi"/>
                <w:sz w:val="20"/>
                <w:szCs w:val="20"/>
              </w:rPr>
            </w:pPr>
            <w:r>
              <w:rPr>
                <w:rFonts w:cstheme="minorHAnsi"/>
                <w:sz w:val="20"/>
                <w:szCs w:val="20"/>
              </w:rPr>
              <w:t xml:space="preserve">A structure that houses academic programs or subjects (courses) but does not serve as a tenure home.  Is expected to have governance structures, and structures in place that can serve the needs of enrolled students and support their success.  </w:t>
            </w:r>
          </w:p>
        </w:tc>
      </w:tr>
      <w:tr w:rsidR="00FB6664" w:rsidRPr="00582E45" w14:paraId="78848E36" w14:textId="77777777" w:rsidTr="008A2F92">
        <w:tc>
          <w:tcPr>
            <w:tcW w:w="2358" w:type="dxa"/>
          </w:tcPr>
          <w:p w14:paraId="49EE4B5D" w14:textId="02000807" w:rsidR="00FB6664" w:rsidRDefault="008A2F92" w:rsidP="009A6CA1">
            <w:pPr>
              <w:contextualSpacing/>
              <w:rPr>
                <w:rFonts w:cstheme="minorHAnsi"/>
                <w:sz w:val="20"/>
                <w:szCs w:val="20"/>
              </w:rPr>
            </w:pPr>
            <w:r>
              <w:rPr>
                <w:rFonts w:cstheme="minorHAnsi"/>
                <w:sz w:val="20"/>
                <w:szCs w:val="20"/>
              </w:rPr>
              <w:t>Faculty Tenure Home</w:t>
            </w:r>
          </w:p>
          <w:p w14:paraId="7DF0DBFB" w14:textId="55FC44F5" w:rsidR="00FB6664" w:rsidRPr="00582E45" w:rsidRDefault="00FB6664" w:rsidP="009A6CA1">
            <w:pPr>
              <w:contextualSpacing/>
              <w:rPr>
                <w:rFonts w:cstheme="minorHAnsi"/>
                <w:sz w:val="20"/>
                <w:szCs w:val="20"/>
              </w:rPr>
            </w:pPr>
          </w:p>
        </w:tc>
        <w:tc>
          <w:tcPr>
            <w:tcW w:w="2340" w:type="dxa"/>
          </w:tcPr>
          <w:p w14:paraId="1C342BF1" w14:textId="6DFDA0B3" w:rsidR="00FB6664" w:rsidRPr="00582E45" w:rsidRDefault="00FB6664" w:rsidP="009A6CA1">
            <w:pPr>
              <w:contextualSpacing/>
              <w:rPr>
                <w:rFonts w:cstheme="minorHAnsi"/>
                <w:sz w:val="20"/>
                <w:szCs w:val="20"/>
              </w:rPr>
            </w:pPr>
            <w:r w:rsidRPr="00582E45">
              <w:rPr>
                <w:rFonts w:cstheme="minorHAnsi"/>
                <w:sz w:val="20"/>
                <w:szCs w:val="20"/>
              </w:rPr>
              <w:t>Yes</w:t>
            </w:r>
          </w:p>
        </w:tc>
        <w:tc>
          <w:tcPr>
            <w:tcW w:w="2655" w:type="dxa"/>
          </w:tcPr>
          <w:p w14:paraId="6D5A9FEC" w14:textId="13F0617F" w:rsidR="00FB6664" w:rsidRDefault="00FB6664" w:rsidP="00267EB3">
            <w:pPr>
              <w:contextualSpacing/>
              <w:rPr>
                <w:rFonts w:cstheme="minorHAnsi"/>
                <w:sz w:val="20"/>
                <w:szCs w:val="20"/>
              </w:rPr>
            </w:pPr>
            <w:r>
              <w:rPr>
                <w:rFonts w:cstheme="minorHAnsi"/>
                <w:sz w:val="20"/>
                <w:szCs w:val="20"/>
              </w:rPr>
              <w:t>Yes</w:t>
            </w:r>
            <w:r w:rsidR="00267EB3">
              <w:rPr>
                <w:rFonts w:cstheme="minorHAnsi"/>
                <w:sz w:val="20"/>
                <w:szCs w:val="20"/>
              </w:rPr>
              <w:br/>
              <w:t>University Committee approval required on case-by-case basis</w:t>
            </w:r>
          </w:p>
        </w:tc>
        <w:tc>
          <w:tcPr>
            <w:tcW w:w="2511" w:type="dxa"/>
          </w:tcPr>
          <w:p w14:paraId="18867007" w14:textId="1ED32372" w:rsidR="00FB6664" w:rsidRPr="00582E45" w:rsidRDefault="00FB6664" w:rsidP="009A6CA1">
            <w:pPr>
              <w:contextualSpacing/>
              <w:rPr>
                <w:rFonts w:cstheme="minorHAnsi"/>
                <w:sz w:val="20"/>
                <w:szCs w:val="20"/>
              </w:rPr>
            </w:pPr>
            <w:r w:rsidRPr="00582E45">
              <w:rPr>
                <w:rFonts w:cstheme="minorHAnsi"/>
                <w:sz w:val="20"/>
                <w:szCs w:val="20"/>
              </w:rPr>
              <w:t>No</w:t>
            </w:r>
          </w:p>
        </w:tc>
      </w:tr>
      <w:tr w:rsidR="00FB6664" w:rsidRPr="00582E45" w14:paraId="117D058D" w14:textId="77777777" w:rsidTr="008A2F92">
        <w:tc>
          <w:tcPr>
            <w:tcW w:w="2358" w:type="dxa"/>
          </w:tcPr>
          <w:p w14:paraId="1E0336E3" w14:textId="2D633FBC" w:rsidR="00FB6664" w:rsidRPr="00582E45" w:rsidRDefault="00FB6664" w:rsidP="009A6CA1">
            <w:pPr>
              <w:contextualSpacing/>
              <w:rPr>
                <w:rFonts w:cstheme="minorHAnsi"/>
                <w:sz w:val="20"/>
                <w:szCs w:val="20"/>
              </w:rPr>
            </w:pPr>
            <w:r>
              <w:rPr>
                <w:rFonts w:cstheme="minorHAnsi"/>
                <w:sz w:val="20"/>
                <w:szCs w:val="20"/>
              </w:rPr>
              <w:t>Approval Path</w:t>
            </w:r>
          </w:p>
        </w:tc>
        <w:tc>
          <w:tcPr>
            <w:tcW w:w="2340" w:type="dxa"/>
          </w:tcPr>
          <w:p w14:paraId="142DC61F" w14:textId="77777777" w:rsidR="00FB6664" w:rsidRDefault="00FB6664" w:rsidP="009A6CA1">
            <w:pPr>
              <w:contextualSpacing/>
              <w:rPr>
                <w:rFonts w:cstheme="minorHAnsi"/>
                <w:sz w:val="20"/>
                <w:szCs w:val="20"/>
              </w:rPr>
            </w:pPr>
            <w:r>
              <w:rPr>
                <w:rFonts w:cstheme="minorHAnsi"/>
                <w:sz w:val="20"/>
                <w:szCs w:val="20"/>
              </w:rPr>
              <w:t>S/C</w:t>
            </w:r>
            <w:r w:rsidRPr="00FB6664">
              <w:rPr>
                <w:rFonts w:cstheme="minorHAnsi"/>
                <w:sz w:val="20"/>
                <w:szCs w:val="20"/>
              </w:rPr>
              <w:sym w:font="Wingdings" w:char="F0E0"/>
            </w:r>
            <w:r>
              <w:rPr>
                <w:rFonts w:cstheme="minorHAnsi"/>
                <w:sz w:val="20"/>
                <w:szCs w:val="20"/>
              </w:rPr>
              <w:t>UAPC</w:t>
            </w:r>
            <w:r w:rsidRPr="00FB6664">
              <w:rPr>
                <w:rFonts w:cstheme="minorHAnsi"/>
                <w:sz w:val="20"/>
                <w:szCs w:val="20"/>
              </w:rPr>
              <w:sym w:font="Wingdings" w:char="F0E0"/>
            </w:r>
            <w:r>
              <w:rPr>
                <w:rFonts w:cstheme="minorHAnsi"/>
                <w:sz w:val="20"/>
                <w:szCs w:val="20"/>
              </w:rPr>
              <w:t>Faculty Senate</w:t>
            </w:r>
          </w:p>
          <w:p w14:paraId="70621B7C" w14:textId="77777777" w:rsidR="008A2F92" w:rsidRDefault="008A2F92" w:rsidP="009A6CA1">
            <w:pPr>
              <w:contextualSpacing/>
              <w:rPr>
                <w:rFonts w:cstheme="minorHAnsi"/>
                <w:sz w:val="20"/>
                <w:szCs w:val="20"/>
              </w:rPr>
            </w:pPr>
          </w:p>
          <w:p w14:paraId="7C5D5197" w14:textId="25A92BB0" w:rsidR="008A2F92" w:rsidRDefault="008A2F92" w:rsidP="009A6CA1">
            <w:pPr>
              <w:contextualSpacing/>
              <w:rPr>
                <w:rFonts w:cstheme="minorHAnsi"/>
                <w:sz w:val="20"/>
                <w:szCs w:val="20"/>
              </w:rPr>
            </w:pPr>
            <w:r>
              <w:rPr>
                <w:rFonts w:cstheme="minorHAnsi"/>
                <w:sz w:val="20"/>
                <w:szCs w:val="20"/>
              </w:rPr>
              <w:t>Faculty Senate is reading only</w:t>
            </w:r>
          </w:p>
        </w:tc>
        <w:tc>
          <w:tcPr>
            <w:tcW w:w="2655" w:type="dxa"/>
          </w:tcPr>
          <w:p w14:paraId="023ED2AA" w14:textId="77777777" w:rsidR="00FB6664" w:rsidRDefault="00FB6664" w:rsidP="009A6CA1">
            <w:pPr>
              <w:contextualSpacing/>
              <w:rPr>
                <w:rFonts w:cstheme="minorHAnsi"/>
                <w:sz w:val="20"/>
                <w:szCs w:val="20"/>
              </w:rPr>
            </w:pPr>
            <w:r>
              <w:rPr>
                <w:rFonts w:cstheme="minorHAnsi"/>
                <w:sz w:val="20"/>
                <w:szCs w:val="20"/>
              </w:rPr>
              <w:t>S/C</w:t>
            </w:r>
            <w:r w:rsidRPr="00FB6664">
              <w:rPr>
                <w:rFonts w:cstheme="minorHAnsi"/>
                <w:sz w:val="20"/>
                <w:szCs w:val="20"/>
              </w:rPr>
              <w:sym w:font="Wingdings" w:char="F0E0"/>
            </w:r>
            <w:r>
              <w:rPr>
                <w:rFonts w:cstheme="minorHAnsi"/>
                <w:sz w:val="20"/>
                <w:szCs w:val="20"/>
              </w:rPr>
              <w:t>UAPC</w:t>
            </w:r>
            <w:r w:rsidRPr="00FB6664">
              <w:rPr>
                <w:rFonts w:cstheme="minorHAnsi"/>
                <w:sz w:val="20"/>
                <w:szCs w:val="20"/>
              </w:rPr>
              <w:sym w:font="Wingdings" w:char="F0E0"/>
            </w:r>
            <w:r>
              <w:rPr>
                <w:rFonts w:cstheme="minorHAnsi"/>
                <w:sz w:val="20"/>
                <w:szCs w:val="20"/>
              </w:rPr>
              <w:t>UC</w:t>
            </w:r>
          </w:p>
          <w:p w14:paraId="231017BA" w14:textId="185D9739" w:rsidR="00FB6664" w:rsidRPr="00582E45" w:rsidRDefault="00FB6664" w:rsidP="009A6CA1">
            <w:pPr>
              <w:contextualSpacing/>
              <w:rPr>
                <w:rFonts w:cstheme="minorHAnsi"/>
                <w:sz w:val="20"/>
                <w:szCs w:val="20"/>
              </w:rPr>
            </w:pPr>
            <w:r>
              <w:rPr>
                <w:rFonts w:cstheme="minorHAnsi"/>
                <w:sz w:val="20"/>
                <w:szCs w:val="20"/>
              </w:rPr>
              <w:t xml:space="preserve">UC consultation </w:t>
            </w:r>
            <w:r w:rsidR="008A2F92">
              <w:rPr>
                <w:rFonts w:cstheme="minorHAnsi"/>
                <w:sz w:val="20"/>
                <w:szCs w:val="20"/>
              </w:rPr>
              <w:t xml:space="preserve">and tacit agreement </w:t>
            </w:r>
            <w:r>
              <w:rPr>
                <w:rFonts w:cstheme="minorHAnsi"/>
                <w:sz w:val="20"/>
                <w:szCs w:val="20"/>
              </w:rPr>
              <w:t>should be sought early in process.</w:t>
            </w:r>
          </w:p>
        </w:tc>
        <w:tc>
          <w:tcPr>
            <w:tcW w:w="2511" w:type="dxa"/>
          </w:tcPr>
          <w:p w14:paraId="5EF0867C" w14:textId="77777777" w:rsidR="00FB6664" w:rsidRDefault="008A2F92" w:rsidP="009A6CA1">
            <w:pPr>
              <w:contextualSpacing/>
              <w:rPr>
                <w:rFonts w:cstheme="minorHAnsi"/>
                <w:sz w:val="20"/>
                <w:szCs w:val="20"/>
              </w:rPr>
            </w:pPr>
            <w:r>
              <w:rPr>
                <w:rFonts w:cstheme="minorHAnsi"/>
                <w:sz w:val="20"/>
                <w:szCs w:val="20"/>
              </w:rPr>
              <w:t>S/C</w:t>
            </w:r>
            <w:r w:rsidRPr="008A2F92">
              <w:rPr>
                <w:rFonts w:cstheme="minorHAnsi"/>
                <w:sz w:val="20"/>
                <w:szCs w:val="20"/>
              </w:rPr>
              <w:sym w:font="Wingdings" w:char="F0E0"/>
            </w:r>
            <w:r>
              <w:rPr>
                <w:rFonts w:cstheme="minorHAnsi"/>
                <w:sz w:val="20"/>
                <w:szCs w:val="20"/>
              </w:rPr>
              <w:t xml:space="preserve">UAPC </w:t>
            </w:r>
          </w:p>
          <w:p w14:paraId="3B6AF670" w14:textId="7350F34E" w:rsidR="008A2F92" w:rsidRPr="00582E45" w:rsidRDefault="008A2F92" w:rsidP="009A6CA1">
            <w:pPr>
              <w:contextualSpacing/>
              <w:rPr>
                <w:rFonts w:cstheme="minorHAnsi"/>
                <w:sz w:val="20"/>
                <w:szCs w:val="20"/>
              </w:rPr>
            </w:pPr>
            <w:r>
              <w:rPr>
                <w:rFonts w:cstheme="minorHAnsi"/>
                <w:sz w:val="20"/>
                <w:szCs w:val="20"/>
              </w:rPr>
              <w:t xml:space="preserve">Follows same path as academic program or subject </w:t>
            </w:r>
          </w:p>
        </w:tc>
      </w:tr>
      <w:tr w:rsidR="00FB6664" w:rsidRPr="00582E45" w14:paraId="261F3961" w14:textId="77777777" w:rsidTr="008A2F92">
        <w:tc>
          <w:tcPr>
            <w:tcW w:w="2358" w:type="dxa"/>
          </w:tcPr>
          <w:p w14:paraId="1050AD60" w14:textId="77777777" w:rsidR="00FB6664" w:rsidRPr="00582E45" w:rsidRDefault="00FB6664" w:rsidP="009A6CA1">
            <w:pPr>
              <w:contextualSpacing/>
              <w:rPr>
                <w:rFonts w:cstheme="minorHAnsi"/>
                <w:sz w:val="20"/>
                <w:szCs w:val="20"/>
              </w:rPr>
            </w:pPr>
            <w:r w:rsidRPr="00582E45">
              <w:rPr>
                <w:rFonts w:cstheme="minorHAnsi"/>
                <w:sz w:val="20"/>
                <w:szCs w:val="20"/>
              </w:rPr>
              <w:t>Faculty leader</w:t>
            </w:r>
            <w:r>
              <w:rPr>
                <w:rFonts w:cstheme="minorHAnsi"/>
                <w:sz w:val="20"/>
                <w:szCs w:val="20"/>
              </w:rPr>
              <w:t>ship</w:t>
            </w:r>
          </w:p>
        </w:tc>
        <w:tc>
          <w:tcPr>
            <w:tcW w:w="2340" w:type="dxa"/>
          </w:tcPr>
          <w:p w14:paraId="0217E3D1" w14:textId="77777777" w:rsidR="00FB6664" w:rsidRPr="00582E45" w:rsidRDefault="00FB6664" w:rsidP="009A6CA1">
            <w:pPr>
              <w:contextualSpacing/>
              <w:rPr>
                <w:rFonts w:cstheme="minorHAnsi"/>
                <w:sz w:val="20"/>
                <w:szCs w:val="20"/>
              </w:rPr>
            </w:pPr>
            <w:r>
              <w:rPr>
                <w:rFonts w:cstheme="minorHAnsi"/>
                <w:sz w:val="20"/>
                <w:szCs w:val="20"/>
              </w:rPr>
              <w:t>CHAIR (t</w:t>
            </w:r>
            <w:r w:rsidRPr="00582E45">
              <w:rPr>
                <w:rFonts w:cstheme="minorHAnsi"/>
                <w:sz w:val="20"/>
                <w:szCs w:val="20"/>
              </w:rPr>
              <w:t>enure</w:t>
            </w:r>
            <w:r>
              <w:rPr>
                <w:rFonts w:cstheme="minorHAnsi"/>
                <w:sz w:val="20"/>
                <w:szCs w:val="20"/>
              </w:rPr>
              <w:t>d faculty in the department; appointed as chair in HRS) or ACADEMIC PROGRAM DIRECTOR. Must be at least 0% appointed in one of these titles in HRS. Selected per FPP 5.30.</w:t>
            </w:r>
          </w:p>
        </w:tc>
        <w:tc>
          <w:tcPr>
            <w:tcW w:w="2655" w:type="dxa"/>
          </w:tcPr>
          <w:p w14:paraId="0E2308A0" w14:textId="3809B41C" w:rsidR="00FB6664" w:rsidRPr="00582E45" w:rsidRDefault="008A2F92" w:rsidP="009A6CA1">
            <w:pPr>
              <w:contextualSpacing/>
              <w:rPr>
                <w:rFonts w:cstheme="minorHAnsi"/>
                <w:sz w:val="20"/>
                <w:szCs w:val="20"/>
              </w:rPr>
            </w:pPr>
            <w:r w:rsidRPr="00582E45">
              <w:rPr>
                <w:rFonts w:cstheme="minorHAnsi"/>
                <w:sz w:val="20"/>
                <w:szCs w:val="20"/>
              </w:rPr>
              <w:t>Academic Program Director, at least 0%</w:t>
            </w:r>
            <w:r>
              <w:rPr>
                <w:rFonts w:cstheme="minorHAnsi"/>
                <w:sz w:val="20"/>
                <w:szCs w:val="20"/>
              </w:rPr>
              <w:t>. Holds tenure or</w:t>
            </w:r>
            <w:r w:rsidRPr="00582E45">
              <w:rPr>
                <w:rFonts w:cstheme="minorHAnsi"/>
                <w:sz w:val="20"/>
                <w:szCs w:val="20"/>
              </w:rPr>
              <w:t xml:space="preserve"> joint executive appointment</w:t>
            </w:r>
            <w:r>
              <w:rPr>
                <w:rFonts w:cstheme="minorHAnsi"/>
                <w:sz w:val="20"/>
                <w:szCs w:val="20"/>
              </w:rPr>
              <w:t xml:space="preserve"> in the academic unit.</w:t>
            </w:r>
          </w:p>
        </w:tc>
        <w:tc>
          <w:tcPr>
            <w:tcW w:w="2511" w:type="dxa"/>
          </w:tcPr>
          <w:p w14:paraId="698B7548" w14:textId="48B62129" w:rsidR="00FB6664" w:rsidRPr="00582E45" w:rsidRDefault="00FB6664" w:rsidP="009A6CA1">
            <w:pPr>
              <w:contextualSpacing/>
              <w:rPr>
                <w:rFonts w:cstheme="minorHAnsi"/>
                <w:sz w:val="20"/>
                <w:szCs w:val="20"/>
              </w:rPr>
            </w:pPr>
            <w:r w:rsidRPr="00582E45">
              <w:rPr>
                <w:rFonts w:cstheme="minorHAnsi"/>
                <w:sz w:val="20"/>
                <w:szCs w:val="20"/>
              </w:rPr>
              <w:t>Academic Program Director, at least 0%</w:t>
            </w:r>
            <w:r>
              <w:rPr>
                <w:rFonts w:cstheme="minorHAnsi"/>
                <w:sz w:val="20"/>
                <w:szCs w:val="20"/>
              </w:rPr>
              <w:t>. Holds</w:t>
            </w:r>
            <w:r w:rsidRPr="00582E45">
              <w:rPr>
                <w:rFonts w:cstheme="minorHAnsi"/>
                <w:sz w:val="20"/>
                <w:szCs w:val="20"/>
              </w:rPr>
              <w:t xml:space="preserve"> joint executive appointment</w:t>
            </w:r>
            <w:r>
              <w:rPr>
                <w:rFonts w:cstheme="minorHAnsi"/>
                <w:sz w:val="20"/>
                <w:szCs w:val="20"/>
              </w:rPr>
              <w:t xml:space="preserve"> in the academic unit. </w:t>
            </w:r>
          </w:p>
        </w:tc>
      </w:tr>
      <w:tr w:rsidR="00FB6664" w:rsidRPr="00582E45" w14:paraId="4E6D1E7F" w14:textId="77777777" w:rsidTr="008A2F92">
        <w:tc>
          <w:tcPr>
            <w:tcW w:w="2358" w:type="dxa"/>
          </w:tcPr>
          <w:p w14:paraId="16E91023" w14:textId="77777777" w:rsidR="00FB6664" w:rsidRPr="00582E45" w:rsidRDefault="00FB6664" w:rsidP="009A6CA1">
            <w:pPr>
              <w:contextualSpacing/>
              <w:rPr>
                <w:rFonts w:cstheme="minorHAnsi"/>
                <w:sz w:val="20"/>
                <w:szCs w:val="20"/>
              </w:rPr>
            </w:pPr>
            <w:r>
              <w:rPr>
                <w:rFonts w:cstheme="minorHAnsi"/>
                <w:sz w:val="20"/>
                <w:szCs w:val="20"/>
              </w:rPr>
              <w:t>Governance and Faculty Oversight</w:t>
            </w:r>
          </w:p>
        </w:tc>
        <w:tc>
          <w:tcPr>
            <w:tcW w:w="2340" w:type="dxa"/>
          </w:tcPr>
          <w:p w14:paraId="061CD6A6" w14:textId="77777777" w:rsidR="00FB6664" w:rsidRPr="00582E45" w:rsidRDefault="00FB6664" w:rsidP="009A6CA1">
            <w:pPr>
              <w:contextualSpacing/>
              <w:rPr>
                <w:rFonts w:cstheme="minorHAnsi"/>
                <w:sz w:val="20"/>
                <w:szCs w:val="20"/>
              </w:rPr>
            </w:pPr>
            <w:r>
              <w:rPr>
                <w:rFonts w:cstheme="minorHAnsi"/>
                <w:sz w:val="20"/>
                <w:szCs w:val="20"/>
              </w:rPr>
              <w:t xml:space="preserve">EXECUTIVE COMMITTEE - </w:t>
            </w:r>
            <w:r w:rsidRPr="00582E45">
              <w:rPr>
                <w:rFonts w:cstheme="minorHAnsi"/>
                <w:sz w:val="20"/>
                <w:szCs w:val="20"/>
              </w:rPr>
              <w:t>Te</w:t>
            </w:r>
            <w:r>
              <w:rPr>
                <w:rFonts w:cstheme="minorHAnsi"/>
                <w:sz w:val="20"/>
                <w:szCs w:val="20"/>
              </w:rPr>
              <w:t>nured f</w:t>
            </w:r>
            <w:r w:rsidRPr="00582E45">
              <w:rPr>
                <w:rFonts w:cstheme="minorHAnsi"/>
                <w:sz w:val="20"/>
                <w:szCs w:val="20"/>
              </w:rPr>
              <w:t>aculty</w:t>
            </w:r>
            <w:r>
              <w:rPr>
                <w:rFonts w:cstheme="minorHAnsi"/>
                <w:sz w:val="20"/>
                <w:szCs w:val="20"/>
              </w:rPr>
              <w:t xml:space="preserve"> (FPP 5.20.)</w:t>
            </w:r>
            <w:r w:rsidRPr="00582E45">
              <w:rPr>
                <w:rFonts w:cstheme="minorHAnsi"/>
                <w:sz w:val="20"/>
                <w:szCs w:val="20"/>
              </w:rPr>
              <w:t xml:space="preserve"> and joint executive appointees</w:t>
            </w:r>
            <w:r>
              <w:rPr>
                <w:rFonts w:cstheme="minorHAnsi"/>
                <w:sz w:val="20"/>
                <w:szCs w:val="20"/>
              </w:rPr>
              <w:t xml:space="preserve"> (FPP 5.12.)</w:t>
            </w:r>
          </w:p>
        </w:tc>
        <w:tc>
          <w:tcPr>
            <w:tcW w:w="2655" w:type="dxa"/>
          </w:tcPr>
          <w:p w14:paraId="02484C87" w14:textId="77777777" w:rsidR="00FB6664" w:rsidRDefault="008A2F92" w:rsidP="00BC2C7F">
            <w:pPr>
              <w:contextualSpacing/>
              <w:rPr>
                <w:rFonts w:cstheme="minorHAnsi"/>
                <w:sz w:val="20"/>
                <w:szCs w:val="20"/>
              </w:rPr>
            </w:pPr>
            <w:r w:rsidRPr="00582E45">
              <w:rPr>
                <w:rFonts w:cstheme="minorHAnsi"/>
                <w:sz w:val="20"/>
                <w:szCs w:val="20"/>
              </w:rPr>
              <w:t xml:space="preserve">Faculty with </w:t>
            </w:r>
            <w:r>
              <w:rPr>
                <w:rFonts w:cstheme="minorHAnsi"/>
                <w:sz w:val="20"/>
                <w:szCs w:val="20"/>
              </w:rPr>
              <w:t xml:space="preserve">tenure and with </w:t>
            </w:r>
            <w:r w:rsidRPr="00582E45">
              <w:rPr>
                <w:rFonts w:cstheme="minorHAnsi"/>
                <w:sz w:val="20"/>
                <w:szCs w:val="20"/>
              </w:rPr>
              <w:t xml:space="preserve">Joint Executive appointments and Instructional Academic Staff (Cat B Instructional) as defined by </w:t>
            </w:r>
            <w:r>
              <w:rPr>
                <w:rFonts w:cstheme="minorHAnsi"/>
                <w:sz w:val="20"/>
                <w:szCs w:val="20"/>
              </w:rPr>
              <w:t>the unit’s governance documents approved by UAPC and UC (and consistent with FPP Chapter 5, as applicable).</w:t>
            </w:r>
          </w:p>
          <w:p w14:paraId="57B924AD" w14:textId="10D2857A" w:rsidR="008A2F92" w:rsidRPr="00582E45" w:rsidRDefault="008A2F92" w:rsidP="00BC2C7F">
            <w:pPr>
              <w:contextualSpacing/>
              <w:rPr>
                <w:rFonts w:cstheme="minorHAnsi"/>
                <w:sz w:val="20"/>
                <w:szCs w:val="20"/>
              </w:rPr>
            </w:pPr>
            <w:r>
              <w:rPr>
                <w:rFonts w:cstheme="minorHAnsi"/>
                <w:sz w:val="20"/>
                <w:szCs w:val="20"/>
              </w:rPr>
              <w:t xml:space="preserve">Expectation is majority are joint executive appoints, otherwise this should be a department.  </w:t>
            </w:r>
          </w:p>
        </w:tc>
        <w:tc>
          <w:tcPr>
            <w:tcW w:w="2511" w:type="dxa"/>
          </w:tcPr>
          <w:p w14:paraId="1B63602B" w14:textId="710E96B9" w:rsidR="00FB6664" w:rsidRPr="00582E45" w:rsidRDefault="00FB6664" w:rsidP="00BC2C7F">
            <w:pPr>
              <w:contextualSpacing/>
              <w:rPr>
                <w:rFonts w:cstheme="minorHAnsi"/>
                <w:sz w:val="20"/>
                <w:szCs w:val="20"/>
              </w:rPr>
            </w:pPr>
            <w:r w:rsidRPr="00582E45">
              <w:rPr>
                <w:rFonts w:cstheme="minorHAnsi"/>
                <w:sz w:val="20"/>
                <w:szCs w:val="20"/>
              </w:rPr>
              <w:t xml:space="preserve">Faculty with Joint Executive appointments and Instructional Academic Staff (Cat B Instructional) as defined by </w:t>
            </w:r>
            <w:r>
              <w:rPr>
                <w:rFonts w:cstheme="minorHAnsi"/>
                <w:sz w:val="20"/>
                <w:szCs w:val="20"/>
              </w:rPr>
              <w:t>the unit’s governance documents approved by UAPC and UC (and consistent with FPP Chapter 5, as applicable).</w:t>
            </w:r>
          </w:p>
        </w:tc>
      </w:tr>
      <w:tr w:rsidR="00FB6664" w:rsidRPr="00582E45" w14:paraId="52FFB932" w14:textId="77777777" w:rsidTr="008A2F92">
        <w:tc>
          <w:tcPr>
            <w:tcW w:w="2358" w:type="dxa"/>
          </w:tcPr>
          <w:p w14:paraId="73D17978" w14:textId="77777777" w:rsidR="00FB6664" w:rsidRDefault="00FB6664" w:rsidP="009A6CA1">
            <w:pPr>
              <w:contextualSpacing/>
              <w:rPr>
                <w:rFonts w:cstheme="minorHAnsi"/>
                <w:sz w:val="20"/>
                <w:szCs w:val="20"/>
              </w:rPr>
            </w:pPr>
            <w:r>
              <w:rPr>
                <w:rFonts w:cstheme="minorHAnsi"/>
                <w:sz w:val="20"/>
                <w:szCs w:val="20"/>
              </w:rPr>
              <w:t>Tenured f</w:t>
            </w:r>
            <w:r w:rsidRPr="00582E45">
              <w:rPr>
                <w:rFonts w:cstheme="minorHAnsi"/>
                <w:sz w:val="20"/>
                <w:szCs w:val="20"/>
              </w:rPr>
              <w:t xml:space="preserve">aculty may </w:t>
            </w:r>
            <w:r w:rsidR="008A2F92">
              <w:rPr>
                <w:rFonts w:cstheme="minorHAnsi"/>
                <w:sz w:val="20"/>
                <w:szCs w:val="20"/>
              </w:rPr>
              <w:t>have joint executive app’t</w:t>
            </w:r>
            <w:r w:rsidRPr="00582E45">
              <w:rPr>
                <w:rFonts w:cstheme="minorHAnsi"/>
                <w:sz w:val="20"/>
                <w:szCs w:val="20"/>
              </w:rPr>
              <w:t>s</w:t>
            </w:r>
            <w:r>
              <w:rPr>
                <w:rFonts w:cstheme="minorHAnsi"/>
                <w:sz w:val="20"/>
                <w:szCs w:val="20"/>
              </w:rPr>
              <w:t xml:space="preserve"> (FPP 5.12.)</w:t>
            </w:r>
          </w:p>
          <w:p w14:paraId="4B37D5E9" w14:textId="0DAE53CC" w:rsidR="00267EB3" w:rsidRPr="00582E45" w:rsidRDefault="00267EB3" w:rsidP="009A6CA1">
            <w:pPr>
              <w:contextualSpacing/>
              <w:rPr>
                <w:rFonts w:cstheme="minorHAnsi"/>
                <w:sz w:val="20"/>
                <w:szCs w:val="20"/>
              </w:rPr>
            </w:pPr>
          </w:p>
        </w:tc>
        <w:tc>
          <w:tcPr>
            <w:tcW w:w="2340" w:type="dxa"/>
          </w:tcPr>
          <w:p w14:paraId="38163B70" w14:textId="77777777" w:rsidR="00FB6664" w:rsidRPr="00582E45" w:rsidRDefault="00FB6664" w:rsidP="008A2F92">
            <w:pPr>
              <w:contextualSpacing/>
              <w:jc w:val="center"/>
              <w:rPr>
                <w:rFonts w:cstheme="minorHAnsi"/>
                <w:sz w:val="20"/>
                <w:szCs w:val="20"/>
              </w:rPr>
            </w:pPr>
            <w:r w:rsidRPr="00582E45">
              <w:rPr>
                <w:rFonts w:cstheme="minorHAnsi"/>
                <w:sz w:val="20"/>
                <w:szCs w:val="20"/>
              </w:rPr>
              <w:t>Yes</w:t>
            </w:r>
          </w:p>
        </w:tc>
        <w:tc>
          <w:tcPr>
            <w:tcW w:w="2655" w:type="dxa"/>
          </w:tcPr>
          <w:p w14:paraId="27C00A86" w14:textId="189FD76B" w:rsidR="00FB6664" w:rsidRPr="00582E45" w:rsidRDefault="008A2F92" w:rsidP="008A2F92">
            <w:pPr>
              <w:contextualSpacing/>
              <w:jc w:val="center"/>
              <w:rPr>
                <w:rFonts w:cstheme="minorHAnsi"/>
                <w:sz w:val="20"/>
                <w:szCs w:val="20"/>
              </w:rPr>
            </w:pPr>
            <w:r>
              <w:rPr>
                <w:rFonts w:cstheme="minorHAnsi"/>
                <w:sz w:val="20"/>
                <w:szCs w:val="20"/>
              </w:rPr>
              <w:t>Yes</w:t>
            </w:r>
          </w:p>
        </w:tc>
        <w:tc>
          <w:tcPr>
            <w:tcW w:w="2511" w:type="dxa"/>
          </w:tcPr>
          <w:p w14:paraId="47F311D3" w14:textId="74C0E938" w:rsidR="00FB6664" w:rsidRPr="00582E45" w:rsidRDefault="00FB6664" w:rsidP="008A2F92">
            <w:pPr>
              <w:contextualSpacing/>
              <w:jc w:val="center"/>
              <w:rPr>
                <w:rFonts w:cstheme="minorHAnsi"/>
                <w:sz w:val="20"/>
                <w:szCs w:val="20"/>
              </w:rPr>
            </w:pPr>
            <w:r w:rsidRPr="00582E45">
              <w:rPr>
                <w:rFonts w:cstheme="minorHAnsi"/>
                <w:sz w:val="20"/>
                <w:szCs w:val="20"/>
              </w:rPr>
              <w:t>Yes</w:t>
            </w:r>
          </w:p>
        </w:tc>
      </w:tr>
      <w:tr w:rsidR="00267EB3" w:rsidRPr="00582E45" w14:paraId="24E7487A" w14:textId="77777777" w:rsidTr="00124B36">
        <w:tc>
          <w:tcPr>
            <w:tcW w:w="2358" w:type="dxa"/>
          </w:tcPr>
          <w:p w14:paraId="0A18C5FF" w14:textId="77777777" w:rsidR="00267EB3" w:rsidRPr="00991C1C" w:rsidRDefault="00267EB3" w:rsidP="00124B36">
            <w:pPr>
              <w:contextualSpacing/>
              <w:rPr>
                <w:rFonts w:cstheme="minorHAnsi"/>
                <w:b/>
                <w:sz w:val="20"/>
                <w:szCs w:val="20"/>
              </w:rPr>
            </w:pPr>
            <w:r w:rsidRPr="00991C1C">
              <w:rPr>
                <w:rFonts w:cstheme="minorHAnsi"/>
                <w:b/>
                <w:sz w:val="20"/>
                <w:szCs w:val="20"/>
              </w:rPr>
              <w:lastRenderedPageBreak/>
              <w:t>Table 1. Continued</w:t>
            </w:r>
          </w:p>
        </w:tc>
        <w:tc>
          <w:tcPr>
            <w:tcW w:w="2340" w:type="dxa"/>
          </w:tcPr>
          <w:p w14:paraId="73707A36" w14:textId="77777777" w:rsidR="00267EB3" w:rsidRPr="00582E45" w:rsidRDefault="00267EB3" w:rsidP="00124B36">
            <w:pPr>
              <w:contextualSpacing/>
              <w:jc w:val="center"/>
              <w:rPr>
                <w:rFonts w:cstheme="minorHAnsi"/>
                <w:sz w:val="20"/>
                <w:szCs w:val="20"/>
              </w:rPr>
            </w:pPr>
          </w:p>
        </w:tc>
        <w:tc>
          <w:tcPr>
            <w:tcW w:w="2655" w:type="dxa"/>
          </w:tcPr>
          <w:p w14:paraId="3D0D5AC2" w14:textId="77777777" w:rsidR="00267EB3" w:rsidRDefault="00267EB3" w:rsidP="00124B36">
            <w:pPr>
              <w:contextualSpacing/>
              <w:jc w:val="center"/>
              <w:rPr>
                <w:rFonts w:cstheme="minorHAnsi"/>
                <w:sz w:val="20"/>
                <w:szCs w:val="20"/>
              </w:rPr>
            </w:pPr>
          </w:p>
        </w:tc>
        <w:tc>
          <w:tcPr>
            <w:tcW w:w="2511" w:type="dxa"/>
          </w:tcPr>
          <w:p w14:paraId="445FA91B" w14:textId="77777777" w:rsidR="00267EB3" w:rsidRPr="00582E45" w:rsidRDefault="00267EB3" w:rsidP="00124B36">
            <w:pPr>
              <w:contextualSpacing/>
              <w:jc w:val="center"/>
              <w:rPr>
                <w:rFonts w:cstheme="minorHAnsi"/>
                <w:sz w:val="20"/>
                <w:szCs w:val="20"/>
              </w:rPr>
            </w:pPr>
          </w:p>
        </w:tc>
      </w:tr>
      <w:tr w:rsidR="00FB6664" w:rsidRPr="00582E45" w14:paraId="4C9D5EAF" w14:textId="77777777" w:rsidTr="008A2F92">
        <w:tc>
          <w:tcPr>
            <w:tcW w:w="2358" w:type="dxa"/>
          </w:tcPr>
          <w:p w14:paraId="3770A26F" w14:textId="204BAE4E" w:rsidR="00FB6664" w:rsidRPr="00582E45" w:rsidRDefault="00FB6664" w:rsidP="009A6CA1">
            <w:pPr>
              <w:contextualSpacing/>
              <w:rPr>
                <w:rFonts w:cstheme="minorHAnsi"/>
                <w:sz w:val="20"/>
                <w:szCs w:val="20"/>
              </w:rPr>
            </w:pPr>
            <w:r w:rsidRPr="00582E45">
              <w:rPr>
                <w:rFonts w:cstheme="minorHAnsi"/>
                <w:sz w:val="20"/>
                <w:szCs w:val="20"/>
              </w:rPr>
              <w:t xml:space="preserve">Faculty </w:t>
            </w:r>
            <w:r>
              <w:rPr>
                <w:rFonts w:cstheme="minorHAnsi"/>
                <w:sz w:val="20"/>
                <w:szCs w:val="20"/>
              </w:rPr>
              <w:t xml:space="preserve">and academic staff </w:t>
            </w:r>
            <w:r w:rsidR="008A2F92">
              <w:rPr>
                <w:rFonts w:cstheme="minorHAnsi"/>
                <w:sz w:val="20"/>
                <w:szCs w:val="20"/>
              </w:rPr>
              <w:t>may have joint dept app’ts</w:t>
            </w:r>
            <w:r>
              <w:rPr>
                <w:rFonts w:cstheme="minorHAnsi"/>
                <w:sz w:val="20"/>
                <w:szCs w:val="20"/>
              </w:rPr>
              <w:t xml:space="preserve"> (FPP 5.12.)</w:t>
            </w:r>
          </w:p>
        </w:tc>
        <w:tc>
          <w:tcPr>
            <w:tcW w:w="2340" w:type="dxa"/>
          </w:tcPr>
          <w:p w14:paraId="77144C0B" w14:textId="77777777" w:rsidR="00FB6664" w:rsidRPr="00582E45" w:rsidRDefault="00FB6664" w:rsidP="008A2F92">
            <w:pPr>
              <w:contextualSpacing/>
              <w:jc w:val="center"/>
              <w:rPr>
                <w:rFonts w:cstheme="minorHAnsi"/>
                <w:sz w:val="20"/>
                <w:szCs w:val="20"/>
              </w:rPr>
            </w:pPr>
            <w:r w:rsidRPr="00582E45">
              <w:rPr>
                <w:rFonts w:cstheme="minorHAnsi"/>
                <w:sz w:val="20"/>
                <w:szCs w:val="20"/>
              </w:rPr>
              <w:t>Yes</w:t>
            </w:r>
          </w:p>
        </w:tc>
        <w:tc>
          <w:tcPr>
            <w:tcW w:w="2655" w:type="dxa"/>
          </w:tcPr>
          <w:p w14:paraId="47AFC860" w14:textId="2554CFD7" w:rsidR="00FB6664" w:rsidRPr="00582E45" w:rsidRDefault="008A2F92" w:rsidP="008A2F92">
            <w:pPr>
              <w:contextualSpacing/>
              <w:jc w:val="center"/>
              <w:rPr>
                <w:rFonts w:cstheme="minorHAnsi"/>
                <w:sz w:val="20"/>
                <w:szCs w:val="20"/>
              </w:rPr>
            </w:pPr>
            <w:r>
              <w:rPr>
                <w:rFonts w:cstheme="minorHAnsi"/>
                <w:sz w:val="20"/>
                <w:szCs w:val="20"/>
              </w:rPr>
              <w:t>Yes</w:t>
            </w:r>
          </w:p>
        </w:tc>
        <w:tc>
          <w:tcPr>
            <w:tcW w:w="2511" w:type="dxa"/>
          </w:tcPr>
          <w:p w14:paraId="60B64C63" w14:textId="0D606FDA" w:rsidR="00FB6664" w:rsidRPr="00582E45" w:rsidRDefault="00FB6664" w:rsidP="008A2F92">
            <w:pPr>
              <w:contextualSpacing/>
              <w:jc w:val="center"/>
              <w:rPr>
                <w:rFonts w:cstheme="minorHAnsi"/>
                <w:sz w:val="20"/>
                <w:szCs w:val="20"/>
              </w:rPr>
            </w:pPr>
            <w:r w:rsidRPr="00582E45">
              <w:rPr>
                <w:rFonts w:cstheme="minorHAnsi"/>
                <w:sz w:val="20"/>
                <w:szCs w:val="20"/>
              </w:rPr>
              <w:t>Yes</w:t>
            </w:r>
          </w:p>
        </w:tc>
      </w:tr>
      <w:tr w:rsidR="00FB6664" w:rsidRPr="00582E45" w14:paraId="2D5314DE" w14:textId="77777777" w:rsidTr="008A2F92">
        <w:tc>
          <w:tcPr>
            <w:tcW w:w="2358" w:type="dxa"/>
          </w:tcPr>
          <w:p w14:paraId="4C464EEB" w14:textId="43677FE1" w:rsidR="00FB6664" w:rsidRPr="00582E45" w:rsidRDefault="00FB6664" w:rsidP="009A6CA1">
            <w:pPr>
              <w:contextualSpacing/>
              <w:rPr>
                <w:rFonts w:cstheme="minorHAnsi"/>
                <w:sz w:val="20"/>
                <w:szCs w:val="20"/>
              </w:rPr>
            </w:pPr>
            <w:r w:rsidRPr="00582E45">
              <w:rPr>
                <w:rFonts w:cstheme="minorHAnsi"/>
                <w:sz w:val="20"/>
                <w:szCs w:val="20"/>
              </w:rPr>
              <w:t>Faculty and academic staff may have aff</w:t>
            </w:r>
            <w:r w:rsidR="008A2F92">
              <w:rPr>
                <w:rFonts w:cstheme="minorHAnsi"/>
                <w:sz w:val="20"/>
                <w:szCs w:val="20"/>
              </w:rPr>
              <w:t>iliate app’ts</w:t>
            </w:r>
            <w:r>
              <w:rPr>
                <w:rFonts w:cstheme="minorHAnsi"/>
                <w:sz w:val="20"/>
                <w:szCs w:val="20"/>
              </w:rPr>
              <w:t xml:space="preserve"> (FPP 5.13.)</w:t>
            </w:r>
          </w:p>
        </w:tc>
        <w:tc>
          <w:tcPr>
            <w:tcW w:w="2340" w:type="dxa"/>
          </w:tcPr>
          <w:p w14:paraId="404E6410" w14:textId="77777777" w:rsidR="00FB6664" w:rsidRPr="00582E45" w:rsidRDefault="00FB6664" w:rsidP="008A2F92">
            <w:pPr>
              <w:contextualSpacing/>
              <w:jc w:val="center"/>
              <w:rPr>
                <w:rFonts w:cstheme="minorHAnsi"/>
                <w:sz w:val="20"/>
                <w:szCs w:val="20"/>
              </w:rPr>
            </w:pPr>
            <w:r w:rsidRPr="00582E45">
              <w:rPr>
                <w:rFonts w:cstheme="minorHAnsi"/>
                <w:sz w:val="20"/>
                <w:szCs w:val="20"/>
              </w:rPr>
              <w:t>Yes</w:t>
            </w:r>
          </w:p>
        </w:tc>
        <w:tc>
          <w:tcPr>
            <w:tcW w:w="2655" w:type="dxa"/>
          </w:tcPr>
          <w:p w14:paraId="459E5DCB" w14:textId="15203369" w:rsidR="00FB6664" w:rsidRPr="00582E45" w:rsidRDefault="008A2F92" w:rsidP="008A2F92">
            <w:pPr>
              <w:contextualSpacing/>
              <w:jc w:val="center"/>
              <w:rPr>
                <w:rFonts w:cstheme="minorHAnsi"/>
                <w:sz w:val="20"/>
                <w:szCs w:val="20"/>
              </w:rPr>
            </w:pPr>
            <w:r>
              <w:rPr>
                <w:rFonts w:cstheme="minorHAnsi"/>
                <w:sz w:val="20"/>
                <w:szCs w:val="20"/>
              </w:rPr>
              <w:t>Yes</w:t>
            </w:r>
          </w:p>
        </w:tc>
        <w:tc>
          <w:tcPr>
            <w:tcW w:w="2511" w:type="dxa"/>
          </w:tcPr>
          <w:p w14:paraId="1A6199B9" w14:textId="3DA6DDF9" w:rsidR="00FB6664" w:rsidRPr="00582E45" w:rsidRDefault="00FB6664" w:rsidP="008A2F92">
            <w:pPr>
              <w:contextualSpacing/>
              <w:jc w:val="center"/>
              <w:rPr>
                <w:rFonts w:cstheme="minorHAnsi"/>
                <w:sz w:val="20"/>
                <w:szCs w:val="20"/>
              </w:rPr>
            </w:pPr>
            <w:r w:rsidRPr="00582E45">
              <w:rPr>
                <w:rFonts w:cstheme="minorHAnsi"/>
                <w:sz w:val="20"/>
                <w:szCs w:val="20"/>
              </w:rPr>
              <w:t>Yes</w:t>
            </w:r>
          </w:p>
        </w:tc>
      </w:tr>
      <w:tr w:rsidR="00FB6664" w:rsidRPr="00582E45" w14:paraId="1CFD7609" w14:textId="77777777" w:rsidTr="008A2F92">
        <w:tc>
          <w:tcPr>
            <w:tcW w:w="2358" w:type="dxa"/>
          </w:tcPr>
          <w:p w14:paraId="75EA93BC" w14:textId="77777777" w:rsidR="00FB6664" w:rsidRDefault="00FB6664" w:rsidP="009A6CA1">
            <w:pPr>
              <w:contextualSpacing/>
              <w:rPr>
                <w:rFonts w:cstheme="minorHAnsi"/>
                <w:sz w:val="20"/>
                <w:szCs w:val="20"/>
              </w:rPr>
            </w:pPr>
            <w:r>
              <w:rPr>
                <w:rFonts w:cstheme="minorHAnsi"/>
                <w:sz w:val="20"/>
                <w:szCs w:val="20"/>
              </w:rPr>
              <w:t>Research mission</w:t>
            </w:r>
          </w:p>
          <w:p w14:paraId="67544723" w14:textId="4DC767EB" w:rsidR="008A2F92" w:rsidRPr="00582E45" w:rsidRDefault="008A2F92" w:rsidP="009A6CA1">
            <w:pPr>
              <w:contextualSpacing/>
              <w:rPr>
                <w:rFonts w:cstheme="minorHAnsi"/>
                <w:sz w:val="20"/>
                <w:szCs w:val="20"/>
              </w:rPr>
            </w:pPr>
          </w:p>
        </w:tc>
        <w:tc>
          <w:tcPr>
            <w:tcW w:w="2340" w:type="dxa"/>
          </w:tcPr>
          <w:p w14:paraId="2739F64A" w14:textId="40062DB1" w:rsidR="00FB6664" w:rsidRPr="00582E45" w:rsidRDefault="008A2F92" w:rsidP="008A2F92">
            <w:pPr>
              <w:contextualSpacing/>
              <w:jc w:val="center"/>
              <w:rPr>
                <w:rFonts w:cstheme="minorHAnsi"/>
                <w:sz w:val="20"/>
                <w:szCs w:val="20"/>
              </w:rPr>
            </w:pPr>
            <w:r>
              <w:rPr>
                <w:rFonts w:cstheme="minorHAnsi"/>
                <w:sz w:val="20"/>
                <w:szCs w:val="20"/>
              </w:rPr>
              <w:t>Expected</w:t>
            </w:r>
          </w:p>
        </w:tc>
        <w:tc>
          <w:tcPr>
            <w:tcW w:w="2655" w:type="dxa"/>
          </w:tcPr>
          <w:p w14:paraId="5B1F78ED" w14:textId="74C35C1B" w:rsidR="00FB6664" w:rsidRPr="00582E45" w:rsidRDefault="008A2F92" w:rsidP="008A2F92">
            <w:pPr>
              <w:contextualSpacing/>
              <w:jc w:val="center"/>
              <w:rPr>
                <w:rFonts w:cstheme="minorHAnsi"/>
                <w:sz w:val="20"/>
                <w:szCs w:val="20"/>
              </w:rPr>
            </w:pPr>
            <w:r>
              <w:rPr>
                <w:rFonts w:cstheme="minorHAnsi"/>
                <w:sz w:val="20"/>
                <w:szCs w:val="20"/>
              </w:rPr>
              <w:t>Expected</w:t>
            </w:r>
          </w:p>
        </w:tc>
        <w:tc>
          <w:tcPr>
            <w:tcW w:w="2511" w:type="dxa"/>
          </w:tcPr>
          <w:p w14:paraId="75AA2FEC" w14:textId="3CC1DFF3" w:rsidR="00FB6664" w:rsidRPr="00582E45" w:rsidRDefault="008A2F92" w:rsidP="008A2F92">
            <w:pPr>
              <w:contextualSpacing/>
              <w:jc w:val="center"/>
              <w:rPr>
                <w:rFonts w:cstheme="minorHAnsi"/>
                <w:sz w:val="20"/>
                <w:szCs w:val="20"/>
              </w:rPr>
            </w:pPr>
            <w:r>
              <w:rPr>
                <w:rFonts w:cstheme="minorHAnsi"/>
                <w:sz w:val="20"/>
                <w:szCs w:val="20"/>
              </w:rPr>
              <w:t>Depends on mission</w:t>
            </w:r>
          </w:p>
        </w:tc>
      </w:tr>
      <w:tr w:rsidR="00FB6664" w:rsidRPr="00582E45" w14:paraId="1FB39802" w14:textId="77777777" w:rsidTr="008A2F92">
        <w:tc>
          <w:tcPr>
            <w:tcW w:w="2358" w:type="dxa"/>
          </w:tcPr>
          <w:p w14:paraId="6E50798A" w14:textId="77777777" w:rsidR="00FB6664" w:rsidRDefault="00FB6664" w:rsidP="009A6CA1">
            <w:pPr>
              <w:contextualSpacing/>
              <w:rPr>
                <w:rFonts w:cstheme="minorHAnsi"/>
                <w:sz w:val="20"/>
                <w:szCs w:val="20"/>
              </w:rPr>
            </w:pPr>
            <w:r w:rsidRPr="00582E45">
              <w:rPr>
                <w:rFonts w:cstheme="minorHAnsi"/>
                <w:sz w:val="20"/>
                <w:szCs w:val="20"/>
              </w:rPr>
              <w:t>O</w:t>
            </w:r>
            <w:r>
              <w:rPr>
                <w:rFonts w:cstheme="minorHAnsi"/>
                <w:sz w:val="20"/>
                <w:szCs w:val="20"/>
              </w:rPr>
              <w:t>utreach/service mission</w:t>
            </w:r>
          </w:p>
          <w:p w14:paraId="42A5F024" w14:textId="12D41C5B" w:rsidR="008A2F92" w:rsidRPr="00582E45" w:rsidRDefault="008A2F92" w:rsidP="009A6CA1">
            <w:pPr>
              <w:contextualSpacing/>
              <w:rPr>
                <w:rFonts w:cstheme="minorHAnsi"/>
                <w:sz w:val="20"/>
                <w:szCs w:val="20"/>
              </w:rPr>
            </w:pPr>
          </w:p>
        </w:tc>
        <w:tc>
          <w:tcPr>
            <w:tcW w:w="2340" w:type="dxa"/>
          </w:tcPr>
          <w:p w14:paraId="72FA69BF" w14:textId="08F2BD21" w:rsidR="00FB6664" w:rsidRPr="00582E45" w:rsidRDefault="008A2F92" w:rsidP="008A2F92">
            <w:pPr>
              <w:contextualSpacing/>
              <w:jc w:val="center"/>
              <w:rPr>
                <w:rFonts w:cstheme="minorHAnsi"/>
                <w:sz w:val="20"/>
                <w:szCs w:val="20"/>
              </w:rPr>
            </w:pPr>
            <w:r>
              <w:rPr>
                <w:rFonts w:cstheme="minorHAnsi"/>
                <w:sz w:val="20"/>
                <w:szCs w:val="20"/>
              </w:rPr>
              <w:t>Expected</w:t>
            </w:r>
          </w:p>
        </w:tc>
        <w:tc>
          <w:tcPr>
            <w:tcW w:w="2655" w:type="dxa"/>
          </w:tcPr>
          <w:p w14:paraId="784290D7" w14:textId="4722CA00" w:rsidR="00FB6664" w:rsidRPr="00582E45" w:rsidRDefault="008A2F92" w:rsidP="008A2F92">
            <w:pPr>
              <w:contextualSpacing/>
              <w:jc w:val="center"/>
              <w:rPr>
                <w:rFonts w:cstheme="minorHAnsi"/>
                <w:sz w:val="20"/>
                <w:szCs w:val="20"/>
              </w:rPr>
            </w:pPr>
            <w:r>
              <w:rPr>
                <w:rFonts w:cstheme="minorHAnsi"/>
                <w:sz w:val="20"/>
                <w:szCs w:val="20"/>
              </w:rPr>
              <w:t>Expected</w:t>
            </w:r>
          </w:p>
        </w:tc>
        <w:tc>
          <w:tcPr>
            <w:tcW w:w="2511" w:type="dxa"/>
          </w:tcPr>
          <w:p w14:paraId="0BB7A7F8" w14:textId="21C99C3A" w:rsidR="00FB6664" w:rsidRPr="00582E45" w:rsidRDefault="008A2F92" w:rsidP="008A2F92">
            <w:pPr>
              <w:contextualSpacing/>
              <w:jc w:val="center"/>
              <w:rPr>
                <w:rFonts w:cstheme="minorHAnsi"/>
                <w:sz w:val="20"/>
                <w:szCs w:val="20"/>
              </w:rPr>
            </w:pPr>
            <w:r>
              <w:rPr>
                <w:rFonts w:cstheme="minorHAnsi"/>
                <w:sz w:val="20"/>
                <w:szCs w:val="20"/>
              </w:rPr>
              <w:t>Depends on mission</w:t>
            </w:r>
          </w:p>
        </w:tc>
      </w:tr>
      <w:tr w:rsidR="00FB6664" w:rsidRPr="00582E45" w14:paraId="1E86D9E9" w14:textId="77777777" w:rsidTr="008A2F92">
        <w:tc>
          <w:tcPr>
            <w:tcW w:w="2358" w:type="dxa"/>
          </w:tcPr>
          <w:p w14:paraId="47DB4012" w14:textId="77777777" w:rsidR="00FB6664" w:rsidRPr="00582E45" w:rsidRDefault="00FB6664" w:rsidP="009A6CA1">
            <w:pPr>
              <w:contextualSpacing/>
              <w:rPr>
                <w:rFonts w:cstheme="minorHAnsi"/>
                <w:sz w:val="20"/>
                <w:szCs w:val="20"/>
              </w:rPr>
            </w:pPr>
            <w:r w:rsidRPr="00582E45">
              <w:rPr>
                <w:rFonts w:cstheme="minorHAnsi"/>
                <w:sz w:val="20"/>
                <w:szCs w:val="20"/>
              </w:rPr>
              <w:t>Teaching/instructional mission</w:t>
            </w:r>
          </w:p>
        </w:tc>
        <w:tc>
          <w:tcPr>
            <w:tcW w:w="2340" w:type="dxa"/>
          </w:tcPr>
          <w:p w14:paraId="4135C6FC" w14:textId="3A62BE63" w:rsidR="00FB6664" w:rsidRPr="00582E45" w:rsidRDefault="008A2F92" w:rsidP="008A2F92">
            <w:pPr>
              <w:contextualSpacing/>
              <w:jc w:val="center"/>
              <w:rPr>
                <w:rFonts w:cstheme="minorHAnsi"/>
                <w:sz w:val="20"/>
                <w:szCs w:val="20"/>
              </w:rPr>
            </w:pPr>
            <w:r>
              <w:rPr>
                <w:rFonts w:cstheme="minorHAnsi"/>
                <w:sz w:val="20"/>
                <w:szCs w:val="20"/>
              </w:rPr>
              <w:t>Expected</w:t>
            </w:r>
          </w:p>
        </w:tc>
        <w:tc>
          <w:tcPr>
            <w:tcW w:w="2655" w:type="dxa"/>
          </w:tcPr>
          <w:p w14:paraId="30329E6A" w14:textId="6FBD4447" w:rsidR="00FB6664" w:rsidRPr="00582E45" w:rsidRDefault="008A2F92" w:rsidP="008A2F92">
            <w:pPr>
              <w:contextualSpacing/>
              <w:jc w:val="center"/>
              <w:rPr>
                <w:rFonts w:cstheme="minorHAnsi"/>
                <w:sz w:val="20"/>
                <w:szCs w:val="20"/>
              </w:rPr>
            </w:pPr>
            <w:r>
              <w:rPr>
                <w:rFonts w:cstheme="minorHAnsi"/>
                <w:sz w:val="20"/>
                <w:szCs w:val="20"/>
              </w:rPr>
              <w:t>Expected</w:t>
            </w:r>
          </w:p>
        </w:tc>
        <w:tc>
          <w:tcPr>
            <w:tcW w:w="2511" w:type="dxa"/>
          </w:tcPr>
          <w:p w14:paraId="471F8039" w14:textId="332B180F" w:rsidR="00FB6664" w:rsidRPr="00582E45" w:rsidRDefault="008A2F92" w:rsidP="008A2F92">
            <w:pPr>
              <w:contextualSpacing/>
              <w:jc w:val="center"/>
              <w:rPr>
                <w:rFonts w:cstheme="minorHAnsi"/>
                <w:sz w:val="20"/>
                <w:szCs w:val="20"/>
              </w:rPr>
            </w:pPr>
            <w:r>
              <w:rPr>
                <w:rFonts w:cstheme="minorHAnsi"/>
                <w:sz w:val="20"/>
                <w:szCs w:val="20"/>
              </w:rPr>
              <w:t>Expected</w:t>
            </w:r>
          </w:p>
        </w:tc>
      </w:tr>
      <w:tr w:rsidR="00FB6664" w:rsidRPr="00582E45" w14:paraId="1CB1C2C0" w14:textId="77777777" w:rsidTr="008A2F92">
        <w:tc>
          <w:tcPr>
            <w:tcW w:w="2358" w:type="dxa"/>
          </w:tcPr>
          <w:p w14:paraId="366272E5" w14:textId="77777777" w:rsidR="00FB6664" w:rsidRPr="00582E45" w:rsidRDefault="00FB6664" w:rsidP="009A6CA1">
            <w:pPr>
              <w:contextualSpacing/>
              <w:rPr>
                <w:rFonts w:cstheme="minorHAnsi"/>
                <w:sz w:val="20"/>
                <w:szCs w:val="20"/>
              </w:rPr>
            </w:pPr>
            <w:r w:rsidRPr="00582E45">
              <w:rPr>
                <w:rFonts w:cstheme="minorHAnsi"/>
                <w:sz w:val="20"/>
                <w:szCs w:val="20"/>
              </w:rPr>
              <w:t>Home for academic degree/major or certificate programs</w:t>
            </w:r>
          </w:p>
        </w:tc>
        <w:tc>
          <w:tcPr>
            <w:tcW w:w="2340" w:type="dxa"/>
          </w:tcPr>
          <w:p w14:paraId="79DE9E51" w14:textId="2BA7B18E" w:rsidR="00FB6664" w:rsidRPr="00582E45" w:rsidRDefault="00267EB3" w:rsidP="008A2F92">
            <w:pPr>
              <w:contextualSpacing/>
              <w:jc w:val="center"/>
              <w:rPr>
                <w:rFonts w:cstheme="minorHAnsi"/>
                <w:sz w:val="20"/>
                <w:szCs w:val="20"/>
              </w:rPr>
            </w:pPr>
            <w:r>
              <w:rPr>
                <w:rFonts w:cstheme="minorHAnsi"/>
                <w:sz w:val="20"/>
                <w:szCs w:val="20"/>
              </w:rPr>
              <w:t>Allowed</w:t>
            </w:r>
          </w:p>
        </w:tc>
        <w:tc>
          <w:tcPr>
            <w:tcW w:w="2655" w:type="dxa"/>
          </w:tcPr>
          <w:p w14:paraId="4F863122" w14:textId="1CFE296B" w:rsidR="00FB6664" w:rsidRPr="00582E45" w:rsidRDefault="00267EB3" w:rsidP="008A2F92">
            <w:pPr>
              <w:contextualSpacing/>
              <w:jc w:val="center"/>
              <w:rPr>
                <w:rFonts w:cstheme="minorHAnsi"/>
                <w:sz w:val="20"/>
                <w:szCs w:val="20"/>
              </w:rPr>
            </w:pPr>
            <w:r>
              <w:rPr>
                <w:rFonts w:cstheme="minorHAnsi"/>
                <w:sz w:val="20"/>
                <w:szCs w:val="20"/>
              </w:rPr>
              <w:t>Allowed</w:t>
            </w:r>
          </w:p>
        </w:tc>
        <w:tc>
          <w:tcPr>
            <w:tcW w:w="2511" w:type="dxa"/>
          </w:tcPr>
          <w:p w14:paraId="6C6C958A" w14:textId="75184595" w:rsidR="00FB6664" w:rsidRPr="00582E45" w:rsidRDefault="00267EB3" w:rsidP="008A2F92">
            <w:pPr>
              <w:contextualSpacing/>
              <w:jc w:val="center"/>
              <w:rPr>
                <w:rFonts w:cstheme="minorHAnsi"/>
                <w:sz w:val="20"/>
                <w:szCs w:val="20"/>
              </w:rPr>
            </w:pPr>
            <w:r>
              <w:rPr>
                <w:rFonts w:cstheme="minorHAnsi"/>
                <w:sz w:val="20"/>
                <w:szCs w:val="20"/>
              </w:rPr>
              <w:t>Allowed</w:t>
            </w:r>
          </w:p>
        </w:tc>
      </w:tr>
      <w:tr w:rsidR="00267EB3" w:rsidRPr="00582E45" w14:paraId="6769281E" w14:textId="77777777" w:rsidTr="008A2F92">
        <w:tc>
          <w:tcPr>
            <w:tcW w:w="2358" w:type="dxa"/>
          </w:tcPr>
          <w:p w14:paraId="6A88FDB7" w14:textId="77777777" w:rsidR="00267EB3" w:rsidRPr="00582E45" w:rsidRDefault="00267EB3" w:rsidP="00267EB3">
            <w:pPr>
              <w:contextualSpacing/>
              <w:rPr>
                <w:rFonts w:cstheme="minorHAnsi"/>
                <w:sz w:val="20"/>
                <w:szCs w:val="20"/>
              </w:rPr>
            </w:pPr>
            <w:r w:rsidRPr="00582E45">
              <w:rPr>
                <w:rFonts w:cstheme="minorHAnsi"/>
                <w:sz w:val="20"/>
                <w:szCs w:val="20"/>
              </w:rPr>
              <w:t>Home for Subjects (courses)</w:t>
            </w:r>
          </w:p>
        </w:tc>
        <w:tc>
          <w:tcPr>
            <w:tcW w:w="2340" w:type="dxa"/>
          </w:tcPr>
          <w:p w14:paraId="247A37A3" w14:textId="7717537D" w:rsidR="00267EB3" w:rsidRPr="00582E45" w:rsidRDefault="00267EB3" w:rsidP="00267EB3">
            <w:pPr>
              <w:contextualSpacing/>
              <w:jc w:val="center"/>
              <w:rPr>
                <w:rFonts w:cstheme="minorHAnsi"/>
                <w:sz w:val="20"/>
                <w:szCs w:val="20"/>
              </w:rPr>
            </w:pPr>
            <w:r>
              <w:rPr>
                <w:rFonts w:cstheme="minorHAnsi"/>
                <w:sz w:val="20"/>
                <w:szCs w:val="20"/>
              </w:rPr>
              <w:t>Allowed</w:t>
            </w:r>
          </w:p>
        </w:tc>
        <w:tc>
          <w:tcPr>
            <w:tcW w:w="2655" w:type="dxa"/>
          </w:tcPr>
          <w:p w14:paraId="2F41C79E" w14:textId="5035A7AD" w:rsidR="00267EB3" w:rsidRPr="00582E45" w:rsidRDefault="00267EB3" w:rsidP="00267EB3">
            <w:pPr>
              <w:contextualSpacing/>
              <w:jc w:val="center"/>
              <w:rPr>
                <w:rFonts w:cstheme="minorHAnsi"/>
                <w:sz w:val="20"/>
                <w:szCs w:val="20"/>
              </w:rPr>
            </w:pPr>
            <w:r>
              <w:rPr>
                <w:rFonts w:cstheme="minorHAnsi"/>
                <w:sz w:val="20"/>
                <w:szCs w:val="20"/>
              </w:rPr>
              <w:t>Allowed</w:t>
            </w:r>
          </w:p>
        </w:tc>
        <w:tc>
          <w:tcPr>
            <w:tcW w:w="2511" w:type="dxa"/>
          </w:tcPr>
          <w:p w14:paraId="7FB5401A" w14:textId="6CC3B3CD" w:rsidR="00267EB3" w:rsidRPr="00582E45" w:rsidRDefault="00267EB3" w:rsidP="00267EB3">
            <w:pPr>
              <w:contextualSpacing/>
              <w:jc w:val="center"/>
              <w:rPr>
                <w:rFonts w:cstheme="minorHAnsi"/>
                <w:sz w:val="20"/>
                <w:szCs w:val="20"/>
              </w:rPr>
            </w:pPr>
            <w:r>
              <w:rPr>
                <w:rFonts w:cstheme="minorHAnsi"/>
                <w:sz w:val="20"/>
                <w:szCs w:val="20"/>
              </w:rPr>
              <w:t>Allowed</w:t>
            </w:r>
          </w:p>
        </w:tc>
      </w:tr>
      <w:tr w:rsidR="00FB6664" w:rsidRPr="00582E45" w14:paraId="4DCD9866" w14:textId="77777777" w:rsidTr="008A2F92">
        <w:tc>
          <w:tcPr>
            <w:tcW w:w="2358" w:type="dxa"/>
          </w:tcPr>
          <w:p w14:paraId="4834FEB5" w14:textId="77777777" w:rsidR="00FB6664" w:rsidRPr="00582E45" w:rsidRDefault="00FB6664" w:rsidP="009A6CA1">
            <w:pPr>
              <w:contextualSpacing/>
              <w:rPr>
                <w:rFonts w:cstheme="minorHAnsi"/>
                <w:sz w:val="20"/>
                <w:szCs w:val="20"/>
              </w:rPr>
            </w:pPr>
            <w:r>
              <w:rPr>
                <w:rFonts w:cstheme="minorHAnsi"/>
                <w:sz w:val="20"/>
                <w:szCs w:val="20"/>
              </w:rPr>
              <w:t>Responsible to maintain</w:t>
            </w:r>
            <w:r w:rsidRPr="00582E45">
              <w:rPr>
                <w:rFonts w:cstheme="minorHAnsi"/>
                <w:sz w:val="20"/>
                <w:szCs w:val="20"/>
              </w:rPr>
              <w:t xml:space="preserve"> any necessary records required by the university in regard to teaching, research, and public service</w:t>
            </w:r>
          </w:p>
        </w:tc>
        <w:tc>
          <w:tcPr>
            <w:tcW w:w="2340" w:type="dxa"/>
          </w:tcPr>
          <w:p w14:paraId="341C509A" w14:textId="77777777" w:rsidR="00FB6664" w:rsidRPr="00582E45" w:rsidRDefault="00FB6664" w:rsidP="008A2F92">
            <w:pPr>
              <w:contextualSpacing/>
              <w:jc w:val="center"/>
              <w:rPr>
                <w:rFonts w:cstheme="minorHAnsi"/>
                <w:sz w:val="20"/>
                <w:szCs w:val="20"/>
              </w:rPr>
            </w:pPr>
            <w:r w:rsidRPr="00582E45">
              <w:rPr>
                <w:rFonts w:cstheme="minorHAnsi"/>
                <w:sz w:val="20"/>
                <w:szCs w:val="20"/>
              </w:rPr>
              <w:t>Yes</w:t>
            </w:r>
          </w:p>
        </w:tc>
        <w:tc>
          <w:tcPr>
            <w:tcW w:w="2655" w:type="dxa"/>
          </w:tcPr>
          <w:p w14:paraId="035A895A" w14:textId="56E63027" w:rsidR="00FB6664" w:rsidRPr="00582E45" w:rsidRDefault="008A2F92" w:rsidP="008A2F92">
            <w:pPr>
              <w:contextualSpacing/>
              <w:jc w:val="center"/>
              <w:rPr>
                <w:rFonts w:cstheme="minorHAnsi"/>
                <w:sz w:val="20"/>
                <w:szCs w:val="20"/>
              </w:rPr>
            </w:pPr>
            <w:r>
              <w:rPr>
                <w:rFonts w:cstheme="minorHAnsi"/>
                <w:sz w:val="20"/>
                <w:szCs w:val="20"/>
              </w:rPr>
              <w:t>Yes</w:t>
            </w:r>
          </w:p>
        </w:tc>
        <w:tc>
          <w:tcPr>
            <w:tcW w:w="2511" w:type="dxa"/>
          </w:tcPr>
          <w:p w14:paraId="3D4CFE89" w14:textId="0993BA30" w:rsidR="00FB6664" w:rsidRPr="00582E45" w:rsidRDefault="00FB6664" w:rsidP="008A2F92">
            <w:pPr>
              <w:contextualSpacing/>
              <w:jc w:val="center"/>
              <w:rPr>
                <w:rFonts w:cstheme="minorHAnsi"/>
                <w:sz w:val="20"/>
                <w:szCs w:val="20"/>
              </w:rPr>
            </w:pPr>
            <w:r w:rsidRPr="00582E45">
              <w:rPr>
                <w:rFonts w:cstheme="minorHAnsi"/>
                <w:sz w:val="20"/>
                <w:szCs w:val="20"/>
              </w:rPr>
              <w:t>Yes</w:t>
            </w:r>
          </w:p>
        </w:tc>
      </w:tr>
      <w:tr w:rsidR="00FB6664" w:rsidRPr="00582E45" w14:paraId="039F2128" w14:textId="77777777" w:rsidTr="008A2F92">
        <w:tc>
          <w:tcPr>
            <w:tcW w:w="2358" w:type="dxa"/>
          </w:tcPr>
          <w:p w14:paraId="635C5798" w14:textId="77777777" w:rsidR="00FB6664" w:rsidRPr="00582E45" w:rsidRDefault="00FB6664" w:rsidP="009A6CA1">
            <w:pPr>
              <w:contextualSpacing/>
              <w:rPr>
                <w:rFonts w:cstheme="minorHAnsi"/>
                <w:sz w:val="20"/>
                <w:szCs w:val="20"/>
              </w:rPr>
            </w:pPr>
            <w:r w:rsidRPr="00582E45">
              <w:rPr>
                <w:rFonts w:cstheme="minorHAnsi"/>
                <w:sz w:val="20"/>
                <w:szCs w:val="20"/>
              </w:rPr>
              <w:t>Follow any requirements set by</w:t>
            </w:r>
            <w:r>
              <w:rPr>
                <w:rFonts w:cstheme="minorHAnsi"/>
                <w:sz w:val="20"/>
                <w:szCs w:val="20"/>
              </w:rPr>
              <w:t xml:space="preserve"> school/college, university</w:t>
            </w:r>
            <w:r w:rsidRPr="00582E45">
              <w:rPr>
                <w:rFonts w:cstheme="minorHAnsi"/>
                <w:sz w:val="20"/>
                <w:szCs w:val="20"/>
              </w:rPr>
              <w:t xml:space="preserve"> or external agencies with respect to teaching, research and public service</w:t>
            </w:r>
            <w:r>
              <w:rPr>
                <w:rFonts w:cstheme="minorHAnsi"/>
                <w:sz w:val="20"/>
                <w:szCs w:val="20"/>
              </w:rPr>
              <w:t>.</w:t>
            </w:r>
          </w:p>
        </w:tc>
        <w:tc>
          <w:tcPr>
            <w:tcW w:w="2340" w:type="dxa"/>
          </w:tcPr>
          <w:p w14:paraId="68995A8D" w14:textId="77777777" w:rsidR="00FB6664" w:rsidRPr="00582E45" w:rsidRDefault="00FB6664" w:rsidP="008A2F92">
            <w:pPr>
              <w:contextualSpacing/>
              <w:jc w:val="center"/>
              <w:rPr>
                <w:rFonts w:cstheme="minorHAnsi"/>
                <w:sz w:val="20"/>
                <w:szCs w:val="20"/>
              </w:rPr>
            </w:pPr>
            <w:r w:rsidRPr="00582E45">
              <w:rPr>
                <w:rFonts w:cstheme="minorHAnsi"/>
                <w:sz w:val="20"/>
                <w:szCs w:val="20"/>
              </w:rPr>
              <w:t>Yes</w:t>
            </w:r>
          </w:p>
        </w:tc>
        <w:tc>
          <w:tcPr>
            <w:tcW w:w="2655" w:type="dxa"/>
          </w:tcPr>
          <w:p w14:paraId="03E66DB5" w14:textId="7B6A814B" w:rsidR="00FB6664" w:rsidRPr="00582E45" w:rsidRDefault="008A2F92" w:rsidP="008A2F92">
            <w:pPr>
              <w:contextualSpacing/>
              <w:jc w:val="center"/>
              <w:rPr>
                <w:rFonts w:cstheme="minorHAnsi"/>
                <w:sz w:val="20"/>
                <w:szCs w:val="20"/>
              </w:rPr>
            </w:pPr>
            <w:r>
              <w:rPr>
                <w:rFonts w:cstheme="minorHAnsi"/>
                <w:sz w:val="20"/>
                <w:szCs w:val="20"/>
              </w:rPr>
              <w:t>Yes</w:t>
            </w:r>
          </w:p>
        </w:tc>
        <w:tc>
          <w:tcPr>
            <w:tcW w:w="2511" w:type="dxa"/>
          </w:tcPr>
          <w:p w14:paraId="5E33C87C" w14:textId="4353E0DE" w:rsidR="00FB6664" w:rsidRPr="00582E45" w:rsidRDefault="00FB6664" w:rsidP="008A2F92">
            <w:pPr>
              <w:contextualSpacing/>
              <w:jc w:val="center"/>
              <w:rPr>
                <w:rFonts w:cstheme="minorHAnsi"/>
                <w:sz w:val="20"/>
                <w:szCs w:val="20"/>
              </w:rPr>
            </w:pPr>
            <w:r w:rsidRPr="00582E45">
              <w:rPr>
                <w:rFonts w:cstheme="minorHAnsi"/>
                <w:sz w:val="20"/>
                <w:szCs w:val="20"/>
              </w:rPr>
              <w:t>Yes</w:t>
            </w:r>
          </w:p>
        </w:tc>
      </w:tr>
      <w:tr w:rsidR="00FB6664" w:rsidRPr="00582E45" w14:paraId="35F0A5A5" w14:textId="77777777" w:rsidTr="008A2F92">
        <w:tc>
          <w:tcPr>
            <w:tcW w:w="2358" w:type="dxa"/>
          </w:tcPr>
          <w:p w14:paraId="0AC7A26C" w14:textId="77777777" w:rsidR="00FB6664" w:rsidRDefault="00FB6664" w:rsidP="009A6CA1">
            <w:pPr>
              <w:contextualSpacing/>
              <w:rPr>
                <w:rFonts w:cstheme="minorHAnsi"/>
                <w:sz w:val="20"/>
                <w:szCs w:val="20"/>
              </w:rPr>
            </w:pPr>
            <w:r>
              <w:rPr>
                <w:rFonts w:cstheme="minorHAnsi"/>
                <w:sz w:val="20"/>
                <w:szCs w:val="20"/>
              </w:rPr>
              <w:t>Name Format</w:t>
            </w:r>
          </w:p>
        </w:tc>
        <w:tc>
          <w:tcPr>
            <w:tcW w:w="2340" w:type="dxa"/>
          </w:tcPr>
          <w:p w14:paraId="27AEC721" w14:textId="77777777" w:rsidR="00FB6664" w:rsidRDefault="00FB6664" w:rsidP="009A6CA1">
            <w:pPr>
              <w:contextualSpacing/>
              <w:rPr>
                <w:rFonts w:cstheme="minorHAnsi"/>
                <w:sz w:val="20"/>
                <w:szCs w:val="20"/>
              </w:rPr>
            </w:pPr>
            <w:r>
              <w:rPr>
                <w:rFonts w:cstheme="minorHAnsi"/>
                <w:sz w:val="20"/>
                <w:szCs w:val="20"/>
              </w:rPr>
              <w:t>Department of ---</w:t>
            </w:r>
          </w:p>
          <w:p w14:paraId="7719F1CF" w14:textId="16FA5763" w:rsidR="00FB6664" w:rsidRDefault="00FB6664" w:rsidP="00991C1C">
            <w:pPr>
              <w:contextualSpacing/>
              <w:rPr>
                <w:rFonts w:cstheme="minorHAnsi"/>
                <w:sz w:val="20"/>
                <w:szCs w:val="20"/>
              </w:rPr>
            </w:pPr>
            <w:r>
              <w:rPr>
                <w:rFonts w:cstheme="minorHAnsi"/>
                <w:sz w:val="20"/>
                <w:szCs w:val="20"/>
              </w:rPr>
              <w:t>School of ---</w:t>
            </w:r>
            <w:r w:rsidR="00991C1C">
              <w:rPr>
                <w:rFonts w:cstheme="minorHAnsi"/>
                <w:sz w:val="20"/>
                <w:szCs w:val="20"/>
              </w:rPr>
              <w:t xml:space="preserve"> (</w:t>
            </w:r>
            <w:r w:rsidR="008A2F92">
              <w:rPr>
                <w:rFonts w:cstheme="minorHAnsi"/>
                <w:sz w:val="20"/>
                <w:szCs w:val="20"/>
              </w:rPr>
              <w:t xml:space="preserve">within a College) </w:t>
            </w:r>
          </w:p>
        </w:tc>
        <w:tc>
          <w:tcPr>
            <w:tcW w:w="2655" w:type="dxa"/>
          </w:tcPr>
          <w:p w14:paraId="121A2796" w14:textId="77777777" w:rsidR="00991C1C" w:rsidRDefault="00991C1C" w:rsidP="00991C1C">
            <w:pPr>
              <w:contextualSpacing/>
              <w:rPr>
                <w:rFonts w:cstheme="minorHAnsi"/>
                <w:sz w:val="20"/>
                <w:szCs w:val="20"/>
              </w:rPr>
            </w:pPr>
            <w:r>
              <w:rPr>
                <w:rFonts w:cstheme="minorHAnsi"/>
                <w:sz w:val="20"/>
                <w:szCs w:val="20"/>
              </w:rPr>
              <w:t>Center of/for ---</w:t>
            </w:r>
          </w:p>
          <w:p w14:paraId="63D67E82" w14:textId="106D5347" w:rsidR="00FB6664" w:rsidRDefault="00991C1C" w:rsidP="00991C1C">
            <w:pPr>
              <w:contextualSpacing/>
              <w:rPr>
                <w:rFonts w:cstheme="minorHAnsi"/>
                <w:sz w:val="20"/>
                <w:szCs w:val="20"/>
              </w:rPr>
            </w:pPr>
            <w:r>
              <w:rPr>
                <w:rFonts w:cstheme="minorHAnsi"/>
                <w:sz w:val="20"/>
                <w:szCs w:val="20"/>
              </w:rPr>
              <w:t>--- Program</w:t>
            </w:r>
          </w:p>
        </w:tc>
        <w:tc>
          <w:tcPr>
            <w:tcW w:w="2511" w:type="dxa"/>
          </w:tcPr>
          <w:p w14:paraId="7C76A756" w14:textId="77777777" w:rsidR="00FB6664" w:rsidRDefault="00FB6664" w:rsidP="009A6CA1">
            <w:pPr>
              <w:contextualSpacing/>
              <w:rPr>
                <w:rFonts w:cstheme="minorHAnsi"/>
                <w:sz w:val="20"/>
                <w:szCs w:val="20"/>
              </w:rPr>
            </w:pPr>
            <w:r>
              <w:rPr>
                <w:rFonts w:cstheme="minorHAnsi"/>
                <w:sz w:val="20"/>
                <w:szCs w:val="20"/>
              </w:rPr>
              <w:t>Center of/for ---</w:t>
            </w:r>
          </w:p>
          <w:p w14:paraId="6EFE8992" w14:textId="4C5E441F" w:rsidR="00FB6664" w:rsidRDefault="00FB6664" w:rsidP="009A6CA1">
            <w:pPr>
              <w:contextualSpacing/>
              <w:rPr>
                <w:rFonts w:cstheme="minorHAnsi"/>
                <w:sz w:val="20"/>
                <w:szCs w:val="20"/>
              </w:rPr>
            </w:pPr>
            <w:r>
              <w:rPr>
                <w:rFonts w:cstheme="minorHAnsi"/>
                <w:sz w:val="20"/>
                <w:szCs w:val="20"/>
              </w:rPr>
              <w:t xml:space="preserve">--- Program </w:t>
            </w:r>
          </w:p>
        </w:tc>
      </w:tr>
      <w:tr w:rsidR="00FB6664" w:rsidRPr="00582E45" w14:paraId="01BA4E50" w14:textId="77777777" w:rsidTr="008A2F92">
        <w:tc>
          <w:tcPr>
            <w:tcW w:w="2358" w:type="dxa"/>
          </w:tcPr>
          <w:p w14:paraId="6C0F6B4D" w14:textId="77777777" w:rsidR="00FB6664" w:rsidRPr="00582E45" w:rsidRDefault="00FB6664" w:rsidP="009A6CA1">
            <w:pPr>
              <w:contextualSpacing/>
              <w:rPr>
                <w:rFonts w:cstheme="minorHAnsi"/>
                <w:sz w:val="20"/>
                <w:szCs w:val="20"/>
              </w:rPr>
            </w:pPr>
            <w:r>
              <w:rPr>
                <w:rFonts w:cstheme="minorHAnsi"/>
                <w:sz w:val="20"/>
                <w:szCs w:val="20"/>
              </w:rPr>
              <w:t>Identified by Department ID - UDD</w:t>
            </w:r>
          </w:p>
        </w:tc>
        <w:tc>
          <w:tcPr>
            <w:tcW w:w="2340" w:type="dxa"/>
          </w:tcPr>
          <w:p w14:paraId="26946A4D" w14:textId="77777777" w:rsidR="00FB6664" w:rsidRPr="00582E45" w:rsidRDefault="00FB6664" w:rsidP="009A6CA1">
            <w:pPr>
              <w:contextualSpacing/>
              <w:rPr>
                <w:rFonts w:cstheme="minorHAnsi"/>
                <w:sz w:val="20"/>
                <w:szCs w:val="20"/>
              </w:rPr>
            </w:pPr>
            <w:r>
              <w:rPr>
                <w:rFonts w:cstheme="minorHAnsi"/>
                <w:sz w:val="20"/>
                <w:szCs w:val="20"/>
              </w:rPr>
              <w:t>Yes</w:t>
            </w:r>
          </w:p>
        </w:tc>
        <w:tc>
          <w:tcPr>
            <w:tcW w:w="2655" w:type="dxa"/>
          </w:tcPr>
          <w:p w14:paraId="05C96B19" w14:textId="77777777" w:rsidR="00FB6664" w:rsidRDefault="00FB6664" w:rsidP="009A6CA1">
            <w:pPr>
              <w:contextualSpacing/>
              <w:rPr>
                <w:rFonts w:cstheme="minorHAnsi"/>
                <w:sz w:val="20"/>
                <w:szCs w:val="20"/>
              </w:rPr>
            </w:pPr>
          </w:p>
        </w:tc>
        <w:tc>
          <w:tcPr>
            <w:tcW w:w="2511" w:type="dxa"/>
          </w:tcPr>
          <w:p w14:paraId="26BED33B" w14:textId="36C02E9F" w:rsidR="00FB6664" w:rsidRPr="00582E45" w:rsidRDefault="00FB6664" w:rsidP="009A6CA1">
            <w:pPr>
              <w:contextualSpacing/>
              <w:rPr>
                <w:rFonts w:cstheme="minorHAnsi"/>
                <w:sz w:val="20"/>
                <w:szCs w:val="20"/>
              </w:rPr>
            </w:pPr>
            <w:r>
              <w:rPr>
                <w:rFonts w:cstheme="minorHAnsi"/>
                <w:sz w:val="20"/>
                <w:szCs w:val="20"/>
              </w:rPr>
              <w:t>Yes</w:t>
            </w:r>
          </w:p>
        </w:tc>
      </w:tr>
      <w:tr w:rsidR="00991C1C" w:rsidRPr="00582E45" w14:paraId="33F48661" w14:textId="77777777" w:rsidTr="009A6CA1">
        <w:tc>
          <w:tcPr>
            <w:tcW w:w="9864" w:type="dxa"/>
            <w:gridSpan w:val="4"/>
          </w:tcPr>
          <w:p w14:paraId="635AF84D" w14:textId="27B94087" w:rsidR="00991C1C" w:rsidRPr="00991C1C" w:rsidRDefault="00991C1C" w:rsidP="00991C1C">
            <w:pPr>
              <w:contextualSpacing/>
              <w:rPr>
                <w:rFonts w:cstheme="minorHAnsi"/>
                <w:sz w:val="20"/>
                <w:szCs w:val="20"/>
              </w:rPr>
            </w:pPr>
            <w:r w:rsidRPr="00991C1C">
              <w:rPr>
                <w:sz w:val="20"/>
                <w:szCs w:val="20"/>
              </w:rPr>
              <w:t xml:space="preserve">Note: The focus of FPP is primarily on faculty roles and responsibilities; UAPC practice and policy is more focused on academic programs and on structures and standards related to student success.  FPP 5.40. (“Department-like Bodies”) is understood to apply to ALL academic units that are not departments, some of which may not be included above.  The main example of units </w:t>
            </w:r>
            <w:r>
              <w:rPr>
                <w:sz w:val="20"/>
                <w:szCs w:val="20"/>
              </w:rPr>
              <w:t xml:space="preserve">subject to FPP 5.40 but not listed here would be research centers; they are not included because they do not serve students through academic programs or subjects/courses.  </w:t>
            </w:r>
          </w:p>
        </w:tc>
      </w:tr>
    </w:tbl>
    <w:p w14:paraId="46D41101" w14:textId="77777777" w:rsidR="00BC2C7F" w:rsidRDefault="00BC2C7F" w:rsidP="00BC2C7F"/>
    <w:p w14:paraId="54A3B84B" w14:textId="77777777" w:rsidR="0089653F" w:rsidRDefault="0089653F">
      <w:r>
        <w:br w:type="page"/>
      </w:r>
    </w:p>
    <w:p w14:paraId="2308205F" w14:textId="1D862235" w:rsidR="0089653F" w:rsidRPr="00206E1E" w:rsidRDefault="0089653F">
      <w:pPr>
        <w:contextualSpacing/>
        <w:rPr>
          <w:b/>
        </w:rPr>
      </w:pPr>
      <w:r w:rsidRPr="00254144">
        <w:rPr>
          <w:b/>
        </w:rPr>
        <w:lastRenderedPageBreak/>
        <w:t>Proposals</w:t>
      </w:r>
      <w:r w:rsidR="00E80D4A" w:rsidRPr="00254144">
        <w:rPr>
          <w:b/>
        </w:rPr>
        <w:t xml:space="preserve"> to</w:t>
      </w:r>
      <w:r w:rsidR="00326F8E">
        <w:rPr>
          <w:b/>
        </w:rPr>
        <w:t xml:space="preserve"> UAPC to</w:t>
      </w:r>
      <w:r w:rsidR="00E80D4A" w:rsidRPr="00254144">
        <w:rPr>
          <w:b/>
        </w:rPr>
        <w:t xml:space="preserve"> </w:t>
      </w:r>
      <w:r w:rsidR="00326F8E">
        <w:rPr>
          <w:b/>
        </w:rPr>
        <w:t>e</w:t>
      </w:r>
      <w:r w:rsidR="00E80D4A" w:rsidRPr="00254144">
        <w:rPr>
          <w:b/>
        </w:rPr>
        <w:t xml:space="preserve">stablish or </w:t>
      </w:r>
      <w:r w:rsidR="00326F8E">
        <w:rPr>
          <w:b/>
        </w:rPr>
        <w:t>r</w:t>
      </w:r>
      <w:r w:rsidR="00E80D4A" w:rsidRPr="00254144">
        <w:rPr>
          <w:b/>
        </w:rPr>
        <w:t xml:space="preserve">estructure </w:t>
      </w:r>
      <w:r w:rsidRPr="00254144">
        <w:rPr>
          <w:b/>
        </w:rPr>
        <w:t>Departments</w:t>
      </w:r>
      <w:r w:rsidR="005F2FC0">
        <w:rPr>
          <w:b/>
        </w:rPr>
        <w:t xml:space="preserve"> or Department-Like </w:t>
      </w:r>
      <w:r w:rsidR="00BC2C7F">
        <w:rPr>
          <w:b/>
        </w:rPr>
        <w:t xml:space="preserve">Academic </w:t>
      </w:r>
      <w:r w:rsidR="005F2FC0">
        <w:rPr>
          <w:b/>
        </w:rPr>
        <w:t xml:space="preserve">Units </w:t>
      </w:r>
      <w:r w:rsidR="00326F8E">
        <w:rPr>
          <w:b/>
        </w:rPr>
        <w:t>will include:</w:t>
      </w:r>
    </w:p>
    <w:p w14:paraId="57E45A27" w14:textId="6CEFEA57" w:rsidR="00AC3EDC" w:rsidRDefault="00AC3EDC" w:rsidP="005F2FC0">
      <w:pPr>
        <w:pStyle w:val="ListParagraph"/>
        <w:numPr>
          <w:ilvl w:val="0"/>
          <w:numId w:val="2"/>
        </w:numPr>
        <w:ind w:left="360"/>
      </w:pPr>
      <w:r>
        <w:t>Proposed n</w:t>
      </w:r>
      <w:r w:rsidR="00254144">
        <w:t>ame</w:t>
      </w:r>
      <w:r>
        <w:t xml:space="preserve"> of new </w:t>
      </w:r>
      <w:r w:rsidR="00F7701A">
        <w:t xml:space="preserve">or restructured </w:t>
      </w:r>
      <w:r w:rsidR="005F2FC0">
        <w:t>department/DL</w:t>
      </w:r>
      <w:r w:rsidR="00206E1E">
        <w:t>A</w:t>
      </w:r>
      <w:r w:rsidR="005F2FC0">
        <w:t>U</w:t>
      </w:r>
    </w:p>
    <w:p w14:paraId="6E636295" w14:textId="77777777" w:rsidR="00AC3EDC" w:rsidRDefault="00AC3EDC" w:rsidP="00AC3EDC">
      <w:pPr>
        <w:pStyle w:val="ListParagraph"/>
        <w:ind w:left="360"/>
      </w:pPr>
    </w:p>
    <w:p w14:paraId="75C9D4DA" w14:textId="1C8EA271" w:rsidR="00E80D4A" w:rsidRDefault="00152DAA" w:rsidP="00AC3EDC">
      <w:pPr>
        <w:pStyle w:val="ListParagraph"/>
        <w:numPr>
          <w:ilvl w:val="0"/>
          <w:numId w:val="2"/>
        </w:numPr>
        <w:ind w:left="360"/>
      </w:pPr>
      <w:r>
        <w:t>Home school/c</w:t>
      </w:r>
      <w:r w:rsidR="00544E5D">
        <w:t>ollege</w:t>
      </w:r>
      <w:r w:rsidR="00254144">
        <w:t xml:space="preserve"> </w:t>
      </w:r>
      <w:r w:rsidR="00206E1E">
        <w:t>of new or restructured department/DLAU</w:t>
      </w:r>
    </w:p>
    <w:p w14:paraId="5AF7B098" w14:textId="77777777" w:rsidR="00AC3EDC" w:rsidRDefault="00AC3EDC" w:rsidP="00AC3EDC">
      <w:pPr>
        <w:pStyle w:val="ListParagraph"/>
        <w:ind w:left="360"/>
      </w:pPr>
    </w:p>
    <w:p w14:paraId="6B3EABBB" w14:textId="122074BB" w:rsidR="00AC3EDC" w:rsidRDefault="00254144" w:rsidP="00AC3EDC">
      <w:pPr>
        <w:pStyle w:val="ListParagraph"/>
        <w:numPr>
          <w:ilvl w:val="0"/>
          <w:numId w:val="2"/>
        </w:numPr>
        <w:ind w:left="360"/>
      </w:pPr>
      <w:r>
        <w:t xml:space="preserve">Succinct </w:t>
      </w:r>
      <w:r w:rsidR="00AC3EDC">
        <w:t>s</w:t>
      </w:r>
      <w:r>
        <w:t xml:space="preserve">tatement of </w:t>
      </w:r>
      <w:r w:rsidR="00AC3EDC">
        <w:t>p</w:t>
      </w:r>
      <w:r w:rsidR="00326F8E">
        <w:t xml:space="preserve">roposal, including antecedent units if relevant </w:t>
      </w:r>
      <w:r>
        <w:t>(</w:t>
      </w:r>
      <w:r w:rsidR="00326F8E">
        <w:t xml:space="preserve">Examples:  </w:t>
      </w:r>
      <w:r>
        <w:t>Establish new department of XYZ; Merge Department of MNO and Department of ABC into a new</w:t>
      </w:r>
      <w:r w:rsidR="00991C1C">
        <w:t xml:space="preserve"> Department of RST; Establish the </w:t>
      </w:r>
      <w:r w:rsidR="00E53AFB">
        <w:t>DEF</w:t>
      </w:r>
      <w:r w:rsidR="00991C1C">
        <w:t xml:space="preserve"> Program</w:t>
      </w:r>
      <w:r w:rsidR="00E53AFB">
        <w:t>,</w:t>
      </w:r>
      <w:r>
        <w:t xml:space="preserve"> to house a new academic program in DEF</w:t>
      </w:r>
      <w:r w:rsidR="00326F8E">
        <w:t>).</w:t>
      </w:r>
    </w:p>
    <w:p w14:paraId="5E4F1014" w14:textId="77777777" w:rsidR="00AC3EDC" w:rsidRDefault="00AC3EDC" w:rsidP="00AC3EDC">
      <w:pPr>
        <w:pStyle w:val="ListParagraph"/>
      </w:pPr>
    </w:p>
    <w:p w14:paraId="1A28C5E1" w14:textId="63B79D79" w:rsidR="00AC3EDC" w:rsidRDefault="00AC3EDC" w:rsidP="00AC3EDC">
      <w:pPr>
        <w:pStyle w:val="ListParagraph"/>
        <w:numPr>
          <w:ilvl w:val="0"/>
          <w:numId w:val="2"/>
        </w:numPr>
        <w:ind w:left="360"/>
      </w:pPr>
      <w:r>
        <w:t>Succinct statement of the</w:t>
      </w:r>
      <w:r w:rsidRPr="00AC3EDC">
        <w:t xml:space="preserve"> common field of knowledge or closely related scholarly interests</w:t>
      </w:r>
      <w:r>
        <w:t xml:space="preserve"> that </w:t>
      </w:r>
      <w:r w:rsidR="005F2FC0">
        <w:t>define the proposed department/DL</w:t>
      </w:r>
      <w:r w:rsidR="00206E1E">
        <w:t>A</w:t>
      </w:r>
      <w:r w:rsidR="005F2FC0">
        <w:t>U</w:t>
      </w:r>
      <w:r>
        <w:t>.</w:t>
      </w:r>
    </w:p>
    <w:p w14:paraId="293C10D2" w14:textId="77777777" w:rsidR="00AC3EDC" w:rsidRDefault="00AC3EDC" w:rsidP="00AC3EDC">
      <w:pPr>
        <w:pStyle w:val="ListParagraph"/>
      </w:pPr>
    </w:p>
    <w:p w14:paraId="005E1818" w14:textId="77777777" w:rsidR="00AC3EDC" w:rsidRDefault="00544E5D" w:rsidP="00AC3EDC">
      <w:pPr>
        <w:pStyle w:val="ListParagraph"/>
        <w:numPr>
          <w:ilvl w:val="0"/>
          <w:numId w:val="2"/>
        </w:numPr>
        <w:ind w:left="360"/>
      </w:pPr>
      <w:r>
        <w:t xml:space="preserve">Timeline of planning and proposed implementation, showing approvals of </w:t>
      </w:r>
      <w:r w:rsidRPr="00544E5D">
        <w:t>affected departmental executive committees and affected individuals a minimum of six months in advance of the proposed actions</w:t>
      </w:r>
      <w:r>
        <w:t xml:space="preserve">.  Information should include meeting dates and vote tallies by departmental executive committees of existing departments or proposed participating faculty for proposed new departments. </w:t>
      </w:r>
      <w:r w:rsidR="00AC3EDC">
        <w:br/>
      </w:r>
      <w:r w:rsidR="00AC3EDC">
        <w:br/>
      </w:r>
      <w:r w:rsidR="009E245A">
        <w:t>Include a summary of consultation with faculty, staff, students, and other important stakeholders such as alumni or community groups (FFP Ch 5.02.B.2)</w:t>
      </w:r>
      <w:r w:rsidR="00AC3EDC">
        <w:t>.</w:t>
      </w:r>
      <w:r w:rsidR="00AC3EDC">
        <w:br/>
      </w:r>
      <w:r w:rsidR="00AC3EDC">
        <w:br/>
      </w:r>
      <w:r>
        <w:t>Timeline should include sum</w:t>
      </w:r>
      <w:r w:rsidR="00B9251D">
        <w:t xml:space="preserve">mary of dates of discussion </w:t>
      </w:r>
      <w:r>
        <w:t xml:space="preserve">by </w:t>
      </w:r>
      <w:r w:rsidRPr="00544E5D">
        <w:t>college/school academic planning councils</w:t>
      </w:r>
      <w:r w:rsidR="00AC3EDC">
        <w:t xml:space="preserve">.  See Approval Steps section for more information. </w:t>
      </w:r>
    </w:p>
    <w:p w14:paraId="34CEEEFE" w14:textId="77777777" w:rsidR="00AC3EDC" w:rsidRDefault="00AC3EDC" w:rsidP="00AC3EDC">
      <w:pPr>
        <w:pStyle w:val="ListParagraph"/>
      </w:pPr>
    </w:p>
    <w:p w14:paraId="01B34871" w14:textId="77777777" w:rsidR="00AC3EDC" w:rsidRDefault="00326F8E" w:rsidP="00AC3EDC">
      <w:pPr>
        <w:pStyle w:val="ListParagraph"/>
        <w:numPr>
          <w:ilvl w:val="0"/>
          <w:numId w:val="2"/>
        </w:numPr>
        <w:ind w:left="360"/>
      </w:pPr>
      <w:r>
        <w:t>M</w:t>
      </w:r>
      <w:r w:rsidR="00544E5D">
        <w:t xml:space="preserve">emo from the dean(s) </w:t>
      </w:r>
      <w:r>
        <w:t xml:space="preserve">with formal </w:t>
      </w:r>
      <w:r w:rsidR="00544E5D">
        <w:t xml:space="preserve">recommendation </w:t>
      </w:r>
      <w:r>
        <w:t>and endorsement</w:t>
      </w:r>
      <w:r w:rsidR="00152DAA">
        <w:t xml:space="preserve"> of the dean(s) and school/college(s)</w:t>
      </w:r>
      <w:r w:rsidR="00544E5D" w:rsidRPr="00544E5D">
        <w:t xml:space="preserve">. </w:t>
      </w:r>
    </w:p>
    <w:p w14:paraId="55EEC176" w14:textId="77777777" w:rsidR="00AC3EDC" w:rsidRDefault="00AC3EDC" w:rsidP="00AC3EDC">
      <w:pPr>
        <w:pStyle w:val="ListParagraph"/>
      </w:pPr>
    </w:p>
    <w:p w14:paraId="43809E5E" w14:textId="7E54F840" w:rsidR="00AC3EDC" w:rsidRDefault="00326F8E" w:rsidP="00AC3EDC">
      <w:pPr>
        <w:pStyle w:val="ListParagraph"/>
        <w:numPr>
          <w:ilvl w:val="0"/>
          <w:numId w:val="2"/>
        </w:numPr>
        <w:ind w:left="360"/>
      </w:pPr>
      <w:r w:rsidRPr="00326F8E">
        <w:t>An explanation of the precipitating circumstances or rationale for the proposal. Such explanations may be based in the unit’s mission/focus and consequent realignment of resources with those changes, substantial changes/redirection of fields/courses of study, declining faculty and student interest in the field of study, negative assessment of program quality and concern about the ability to deliver programming of acceptable quality to students, budgetary considerations, or other forces.</w:t>
      </w:r>
      <w:r w:rsidR="00152DAA">
        <w:t xml:space="preserve"> (FPP Ch 5.02.</w:t>
      </w:r>
      <w:r w:rsidR="00206E1E">
        <w:t>B.1).  I</w:t>
      </w:r>
      <w:r>
        <w:t xml:space="preserve">nclude information on new opportunities created by such structures. </w:t>
      </w:r>
    </w:p>
    <w:p w14:paraId="3848461A" w14:textId="77777777" w:rsidR="00AC3EDC" w:rsidRDefault="00AC3EDC" w:rsidP="00AC3EDC">
      <w:pPr>
        <w:pStyle w:val="ListParagraph"/>
      </w:pPr>
    </w:p>
    <w:p w14:paraId="47B63800" w14:textId="519538D7" w:rsidR="001717A6" w:rsidRDefault="00AC3EDC" w:rsidP="001717A6">
      <w:pPr>
        <w:pStyle w:val="ListParagraph"/>
        <w:numPr>
          <w:ilvl w:val="0"/>
          <w:numId w:val="2"/>
        </w:numPr>
        <w:ind w:left="360"/>
      </w:pPr>
      <w:r>
        <w:t xml:space="preserve">Faculty </w:t>
      </w:r>
      <w:r w:rsidR="00152DAA">
        <w:t>m</w:t>
      </w:r>
      <w:r>
        <w:t xml:space="preserve">embership </w:t>
      </w:r>
      <w:r w:rsidR="00152DAA">
        <w:t xml:space="preserve">of the department. Provide a description of the </w:t>
      </w:r>
      <w:r w:rsidR="00B9251D">
        <w:t xml:space="preserve">faculty </w:t>
      </w:r>
      <w:r w:rsidR="00152DAA">
        <w:t>membership of the academic unit (FPP Ch 5.10)</w:t>
      </w:r>
      <w:r w:rsidR="004C7F02">
        <w:br/>
      </w:r>
      <w:r w:rsidR="00152DAA">
        <w:br/>
      </w:r>
      <w:r w:rsidR="00152DAA" w:rsidRPr="00206E1E">
        <w:rPr>
          <w:u w:val="single"/>
        </w:rPr>
        <w:t>For departments</w:t>
      </w:r>
      <w:r w:rsidR="00152DAA">
        <w:t>, provide a description of faculty appointments that compris</w:t>
      </w:r>
      <w:r w:rsidR="001717A6">
        <w:t xml:space="preserve">e </w:t>
      </w:r>
      <w:r w:rsidR="00A803F6">
        <w:t>the faculty, allowances for</w:t>
      </w:r>
      <w:r w:rsidR="001717A6">
        <w:t xml:space="preserve"> tenure appointments</w:t>
      </w:r>
      <w:r w:rsidR="00A803F6">
        <w:t xml:space="preserve"> shared with other departments</w:t>
      </w:r>
      <w:r w:rsidR="001717A6">
        <w:t xml:space="preserve">, allowances for joint executive appointees, allowances for joint departmental appointees, allowances for affiliations, and any other information related to who comprises the faculty of the department.  If relevant, describe how academic staff participate in governance. </w:t>
      </w:r>
      <w:r w:rsidR="004C7F02">
        <w:br/>
      </w:r>
      <w:r w:rsidR="00386589">
        <w:br/>
      </w:r>
      <w:r w:rsidR="00386589">
        <w:rPr>
          <w:u w:val="single"/>
        </w:rPr>
        <w:t>For de</w:t>
      </w:r>
      <w:r w:rsidR="00386589" w:rsidRPr="00206E1E">
        <w:rPr>
          <w:u w:val="single"/>
        </w:rPr>
        <w:t>partment</w:t>
      </w:r>
      <w:r w:rsidR="00386589">
        <w:rPr>
          <w:u w:val="single"/>
        </w:rPr>
        <w:t>-like academic units as tenure-homes</w:t>
      </w:r>
      <w:r w:rsidR="00386589">
        <w:t xml:space="preserve">, provide a description of faculty appointments that comprise the faculty, allowances for tenure appointments shared with other departments, </w:t>
      </w:r>
      <w:r w:rsidR="00386589">
        <w:lastRenderedPageBreak/>
        <w:t xml:space="preserve">allowances for joint executive appointees, allowances for joint departmental appointees, allowances for affiliations, and any other information related to who comprises the faculty of the department.  If relevant, describe how academic staff participate in governance. Describe the reasons for requiring this particular arrangement.  </w:t>
      </w:r>
      <w:r w:rsidR="00267EB3">
        <w:t xml:space="preserve">Acknowledge that all tenure/tenure track faculty appointments will require University Committee approval on a case-by-case basis. </w:t>
      </w:r>
      <w:r w:rsidR="004C7F02">
        <w:br/>
      </w:r>
      <w:r w:rsidR="001717A6">
        <w:br/>
      </w:r>
      <w:r w:rsidR="001717A6" w:rsidRPr="00206E1E">
        <w:rPr>
          <w:u w:val="single"/>
        </w:rPr>
        <w:t xml:space="preserve">For </w:t>
      </w:r>
      <w:r w:rsidR="005F2FC0" w:rsidRPr="00206E1E">
        <w:rPr>
          <w:u w:val="single"/>
        </w:rPr>
        <w:t xml:space="preserve">department-like </w:t>
      </w:r>
      <w:r w:rsidR="00206E1E" w:rsidRPr="00206E1E">
        <w:rPr>
          <w:u w:val="single"/>
        </w:rPr>
        <w:t xml:space="preserve">academic </w:t>
      </w:r>
      <w:r w:rsidR="005F2FC0" w:rsidRPr="00206E1E">
        <w:rPr>
          <w:u w:val="single"/>
        </w:rPr>
        <w:t>units</w:t>
      </w:r>
      <w:r w:rsidR="00386589">
        <w:rPr>
          <w:u w:val="single"/>
        </w:rPr>
        <w:t xml:space="preserve"> that are not tenure homes</w:t>
      </w:r>
      <w:r w:rsidR="00206E1E">
        <w:t xml:space="preserve">, </w:t>
      </w:r>
      <w:r w:rsidR="00386589">
        <w:t>in such cases</w:t>
      </w:r>
      <w:r w:rsidR="001717A6">
        <w:t xml:space="preserve"> faculty appointments will all be joint executive appointments and joint departmental appointments.  Describe how these appointments are made and how Category B instructional academic staff participate in governance.  </w:t>
      </w:r>
      <w:r w:rsidR="00386589">
        <w:t>A</w:t>
      </w:r>
      <w:r w:rsidR="00D60520">
        <w:t xml:space="preserve"> summary </w:t>
      </w:r>
      <w:r w:rsidR="00386589">
        <w:t xml:space="preserve">can be provided </w:t>
      </w:r>
      <w:r w:rsidR="00D60520">
        <w:t>from a more complete</w:t>
      </w:r>
      <w:r w:rsidR="00206E1E">
        <w:t xml:space="preserve"> governance </w:t>
      </w:r>
      <w:r w:rsidR="00D60520">
        <w:t xml:space="preserve">structure document that </w:t>
      </w:r>
      <w:r w:rsidR="00386589">
        <w:t>is</w:t>
      </w:r>
      <w:r w:rsidR="00D60520">
        <w:t xml:space="preserve"> appended</w:t>
      </w:r>
      <w:r w:rsidR="00206E1E">
        <w:t xml:space="preserve">. </w:t>
      </w:r>
      <w:r w:rsidR="004C7F02">
        <w:br/>
      </w:r>
      <w:r w:rsidR="00A803F6">
        <w:br/>
      </w:r>
      <w:r w:rsidR="00386589">
        <w:rPr>
          <w:u w:val="single"/>
        </w:rPr>
        <w:t>In all cases</w:t>
      </w:r>
      <w:r w:rsidR="00206E1E">
        <w:t>, c</w:t>
      </w:r>
      <w:r w:rsidR="00A803F6">
        <w:t xml:space="preserve">onsult FPP Ch 5.12 for information on joint governance appointments, which include both the joint executive appointment, the joint departmental appointment, and allowance for academic staff to participate in governance.  Consult FPP Ch 5.13 for description of affiliations.  </w:t>
      </w:r>
    </w:p>
    <w:p w14:paraId="348F28B3" w14:textId="77777777" w:rsidR="001717A6" w:rsidRDefault="001717A6" w:rsidP="001717A6">
      <w:pPr>
        <w:pStyle w:val="ListParagraph"/>
      </w:pPr>
    </w:p>
    <w:p w14:paraId="7319268D" w14:textId="1CB799B2" w:rsidR="005A3655" w:rsidRDefault="001717A6" w:rsidP="004C7F02">
      <w:pPr>
        <w:pStyle w:val="ListParagraph"/>
        <w:numPr>
          <w:ilvl w:val="0"/>
          <w:numId w:val="2"/>
        </w:numPr>
      </w:pPr>
      <w:r>
        <w:t>Structu</w:t>
      </w:r>
      <w:r w:rsidR="00A803F6">
        <w:t>re of the Executive Committee (FPP Ch 5.20).</w:t>
      </w:r>
      <w:r w:rsidR="00A803F6">
        <w:br/>
        <w:t xml:space="preserve">Describe the membership of the executive committee, in keeping with FPP Ch 5.20.  </w:t>
      </w:r>
      <w:r w:rsidR="00A803F6">
        <w:br/>
        <w:t xml:space="preserve">For </w:t>
      </w:r>
      <w:r w:rsidR="005F2FC0">
        <w:t xml:space="preserve">department-like </w:t>
      </w:r>
      <w:r w:rsidR="004C7F02">
        <w:t xml:space="preserve">academic </w:t>
      </w:r>
      <w:r w:rsidR="005F2FC0">
        <w:t>units</w:t>
      </w:r>
      <w:r w:rsidR="004C7F02">
        <w:t xml:space="preserve"> without tenure</w:t>
      </w:r>
      <w:r w:rsidR="00A803F6">
        <w:t xml:space="preserve">, membership will </w:t>
      </w:r>
      <w:r w:rsidR="004C7F02">
        <w:t xml:space="preserve">only </w:t>
      </w:r>
      <w:r w:rsidR="00A803F6">
        <w:t>be faculty who a</w:t>
      </w:r>
      <w:r w:rsidR="00F1329B">
        <w:t xml:space="preserve">re joint executive appointees and they will oversee academic programs and courses/curriculum.  Describe criteria for faculty with joint executive appointments and process for appointment and renewal. </w:t>
      </w:r>
      <w:r w:rsidR="00D60520">
        <w:t xml:space="preserve"> </w:t>
      </w:r>
      <w:r w:rsidR="00D60520" w:rsidRPr="00D60520">
        <w:t>For this section DLAU may provide a summary from a more complete governance structure document that can be appended.</w:t>
      </w:r>
      <w:r w:rsidR="00F1329B">
        <w:br/>
      </w:r>
      <w:r w:rsidR="00A36A0B">
        <w:br/>
        <w:t>Affirm that in planning the participating faculty have reviewed executive committee functions as described in FPP Ch 5.21 and FPP Ch 5.22 and have the capacity to ful</w:t>
      </w:r>
      <w:r w:rsidR="00F1329B">
        <w:t xml:space="preserve">fil the stated functions.  </w:t>
      </w:r>
    </w:p>
    <w:p w14:paraId="26E8F306" w14:textId="77777777" w:rsidR="005A3655" w:rsidRDefault="005A3655" w:rsidP="005A3655">
      <w:pPr>
        <w:pStyle w:val="ListParagraph"/>
      </w:pPr>
    </w:p>
    <w:p w14:paraId="51BFF423" w14:textId="446061F6" w:rsidR="00F1329B" w:rsidRDefault="005A3655" w:rsidP="00F1329B">
      <w:pPr>
        <w:pStyle w:val="ListParagraph"/>
        <w:numPr>
          <w:ilvl w:val="0"/>
          <w:numId w:val="2"/>
        </w:numPr>
        <w:ind w:left="360"/>
      </w:pPr>
      <w:r>
        <w:t>Selection of Department Chair or Academic Program Director (FPP Ch 5.30)</w:t>
      </w:r>
      <w:r>
        <w:br/>
      </w:r>
      <w:r w:rsidR="00F1329B">
        <w:t>Describe the typical</w:t>
      </w:r>
      <w:r w:rsidR="005F2FC0">
        <w:t xml:space="preserve"> process the department</w:t>
      </w:r>
      <w:r w:rsidR="00D60520">
        <w:t xml:space="preserve"> will use in selecting the department chair </w:t>
      </w:r>
      <w:r w:rsidR="00F1329B">
        <w:t xml:space="preserve">or </w:t>
      </w:r>
      <w:r w:rsidR="004C7F02">
        <w:t xml:space="preserve">the </w:t>
      </w:r>
      <w:r w:rsidR="00D60520">
        <w:t xml:space="preserve">DLAU </w:t>
      </w:r>
      <w:r w:rsidR="004C7F02">
        <w:t xml:space="preserve">will use to select the </w:t>
      </w:r>
      <w:r w:rsidR="00F1329B">
        <w:t xml:space="preserve">academic program director.  </w:t>
      </w:r>
      <w:r w:rsidR="00F1329B">
        <w:br/>
      </w:r>
      <w:r w:rsidR="00F1329B">
        <w:br/>
        <w:t>Affirm that in planning</w:t>
      </w:r>
      <w:r w:rsidR="004C7F02">
        <w:t>,</w:t>
      </w:r>
      <w:r w:rsidR="00F1329B">
        <w:t xml:space="preserve"> the participating faculty have reviewed the plan for selection of the chair and chair duties as described in FPP Ch 5.30 and FPP Ch 5.31 and have the capacity to fulfil the stated functions</w:t>
      </w:r>
      <w:r w:rsidR="007D0B74">
        <w:t xml:space="preserve"> and duties</w:t>
      </w:r>
      <w:r w:rsidR="00F1329B">
        <w:t xml:space="preserve">.  </w:t>
      </w:r>
      <w:r w:rsidR="00F1329B">
        <w:br/>
      </w:r>
      <w:r w:rsidR="00F1329B">
        <w:br/>
        <w:t>(Note that this depa</w:t>
      </w:r>
      <w:r w:rsidR="00D60520">
        <w:t xml:space="preserve">rtment leader </w:t>
      </w:r>
      <w:r w:rsidR="004C7F02">
        <w:t xml:space="preserve">– either chair or academic program director) </w:t>
      </w:r>
      <w:r w:rsidR="00D60520">
        <w:t>must be identifiable</w:t>
      </w:r>
      <w:r w:rsidR="00F1329B">
        <w:t xml:space="preserve"> in HRS </w:t>
      </w:r>
      <w:r w:rsidR="00D60520">
        <w:t xml:space="preserve">by their </w:t>
      </w:r>
      <w:r w:rsidR="00F1329B">
        <w:t xml:space="preserve">appointment as chair or academic program director in the UDD of the academic unit; a zero dollar appointment is acceptable.   It is essential for the proper functioning of the academic infrastructure </w:t>
      </w:r>
      <w:r w:rsidR="005F2FC0">
        <w:t xml:space="preserve">and automated approval processes </w:t>
      </w:r>
      <w:r w:rsidR="00F1329B">
        <w:t>that this appointment be accurately maintained.)</w:t>
      </w:r>
    </w:p>
    <w:p w14:paraId="4C05BD14" w14:textId="77777777" w:rsidR="00AC3EDC" w:rsidRDefault="00AC3EDC" w:rsidP="00AC3EDC">
      <w:pPr>
        <w:pStyle w:val="ListParagraph"/>
      </w:pPr>
    </w:p>
    <w:p w14:paraId="68CCA7E3" w14:textId="0446A8A4" w:rsidR="00D60520" w:rsidRDefault="00D60520" w:rsidP="00022C96">
      <w:pPr>
        <w:pStyle w:val="ListParagraph"/>
        <w:numPr>
          <w:ilvl w:val="0"/>
          <w:numId w:val="2"/>
        </w:numPr>
        <w:ind w:left="360"/>
      </w:pPr>
      <w:r>
        <w:t>Provide a</w:t>
      </w:r>
      <w:r w:rsidR="009E245A">
        <w:t xml:space="preserve"> list of the degree/majors, certificates, BSE minors, PhD minors, honors programs or other transcripted academic programs </w:t>
      </w:r>
      <w:r w:rsidR="008A2D78">
        <w:t>as well as any</w:t>
      </w:r>
      <w:r w:rsidR="00434C0D">
        <w:t xml:space="preserve"> Subjects </w:t>
      </w:r>
      <w:r w:rsidR="009E245A">
        <w:t xml:space="preserve">that are associated with the </w:t>
      </w:r>
      <w:r>
        <w:t>department</w:t>
      </w:r>
      <w:r w:rsidR="00434C0D">
        <w:t>/DL</w:t>
      </w:r>
      <w:r w:rsidR="00206E1E">
        <w:t>A</w:t>
      </w:r>
      <w:r w:rsidR="00434C0D">
        <w:t>U</w:t>
      </w:r>
      <w:r w:rsidR="008A2D78">
        <w:t xml:space="preserve"> described in the </w:t>
      </w:r>
      <w:r w:rsidR="009E245A">
        <w:t>proposal</w:t>
      </w:r>
      <w:r w:rsidR="008A2D78">
        <w:t xml:space="preserve"> (FPP Ch 5.02.B.6)</w:t>
      </w:r>
      <w:r w:rsidR="009E245A">
        <w:t xml:space="preserve">.  </w:t>
      </w:r>
      <w:r w:rsidR="008A2D78">
        <w:t xml:space="preserve">The academic home prior to the proposal and upon approval of the proposal must be clearly stated in the proposal.  </w:t>
      </w:r>
      <w:r w:rsidR="00F1329B">
        <w:br/>
      </w:r>
      <w:r w:rsidR="00F1329B">
        <w:br/>
        <w:t>For complete listings of academic components associated with any schoo</w:t>
      </w:r>
      <w:r w:rsidR="00434C0D">
        <w:t xml:space="preserve">l/college or </w:t>
      </w:r>
      <w:r w:rsidR="00434C0D">
        <w:lastRenderedPageBreak/>
        <w:t>department/DL</w:t>
      </w:r>
      <w:r w:rsidR="00206E1E">
        <w:t>A</w:t>
      </w:r>
      <w:r w:rsidR="00434C0D">
        <w:t>U</w:t>
      </w:r>
      <w:r w:rsidR="00F1329B">
        <w:t>, consult the Academic Structure tables (</w:t>
      </w:r>
      <w:hyperlink r:id="rId12" w:history="1">
        <w:r w:rsidR="00F1329B" w:rsidRPr="00EE6283">
          <w:rPr>
            <w:rStyle w:val="Hyperlink"/>
          </w:rPr>
          <w:t>https://apir.wisc.edu/institution/academic-structure/</w:t>
        </w:r>
      </w:hyperlink>
      <w:r w:rsidR="00F1329B">
        <w:t xml:space="preserve"> )</w:t>
      </w:r>
      <w:r w:rsidR="00F1329B">
        <w:br/>
      </w:r>
      <w:r w:rsidR="00F1329B">
        <w:br/>
      </w:r>
      <w:r w:rsidR="00434C0D">
        <w:t>If the department/DL</w:t>
      </w:r>
      <w:r w:rsidR="00206E1E">
        <w:t>A</w:t>
      </w:r>
      <w:r w:rsidR="00434C0D">
        <w:t xml:space="preserve">U proposal has embedded </w:t>
      </w:r>
      <w:r>
        <w:t>expectations that will</w:t>
      </w:r>
      <w:r w:rsidR="00434C0D">
        <w:t xml:space="preserve"> change the </w:t>
      </w:r>
      <w:r w:rsidR="00EA0905">
        <w:t xml:space="preserve">academic home </w:t>
      </w:r>
      <w:r w:rsidR="00434C0D">
        <w:t xml:space="preserve">of Subjects or academic programs </w:t>
      </w:r>
      <w:r>
        <w:t>concurrent with the department restructuring, those</w:t>
      </w:r>
      <w:r w:rsidR="00434C0D">
        <w:t xml:space="preserve"> changes must be explicitly proposed</w:t>
      </w:r>
      <w:r>
        <w:t xml:space="preserve"> in the proposal</w:t>
      </w:r>
      <w:r w:rsidR="00434C0D">
        <w:t xml:space="preserve">.  </w:t>
      </w:r>
      <w:r w:rsidR="00EA0905">
        <w:t xml:space="preserve"> </w:t>
      </w:r>
      <w:r>
        <w:t xml:space="preserve">For changes in academic home on a different timeline, they should be proposed separately.  </w:t>
      </w:r>
    </w:p>
    <w:p w14:paraId="25CF70B1" w14:textId="77777777" w:rsidR="00D60520" w:rsidRDefault="00D60520" w:rsidP="00D60520">
      <w:pPr>
        <w:pStyle w:val="ListParagraph"/>
      </w:pPr>
    </w:p>
    <w:p w14:paraId="1333845B" w14:textId="67454DF5" w:rsidR="00022C96" w:rsidRDefault="008A2D78" w:rsidP="00D60520">
      <w:pPr>
        <w:pStyle w:val="ListParagraph"/>
        <w:ind w:left="360"/>
      </w:pPr>
      <w:r>
        <w:t>For a</w:t>
      </w:r>
      <w:r w:rsidR="00EA0905">
        <w:t>ll other aca</w:t>
      </w:r>
      <w:r w:rsidR="00434C0D">
        <w:t xml:space="preserve">demic </w:t>
      </w:r>
      <w:r>
        <w:t>changes</w:t>
      </w:r>
      <w:r w:rsidR="00EA0905">
        <w:t xml:space="preserve"> </w:t>
      </w:r>
      <w:r w:rsidR="00434C0D">
        <w:t xml:space="preserve">such as program renaming, mergers or discontinuations </w:t>
      </w:r>
      <w:r w:rsidR="00EA0905">
        <w:t>(</w:t>
      </w:r>
      <w:r w:rsidR="00434C0D">
        <w:t xml:space="preserve">for </w:t>
      </w:r>
      <w:r w:rsidR="00EA0905">
        <w:t>degree/major, certificate, options, Subjects, etc)</w:t>
      </w:r>
      <w:r>
        <w:t>, the appropriate academic program proposal must be completed</w:t>
      </w:r>
      <w:r w:rsidR="00F1329B">
        <w:t xml:space="preserve"> separately.  Such changes may also need to take place on a different timeline than the timeline for the academic unit c</w:t>
      </w:r>
      <w:r w:rsidR="00434C0D">
        <w:t xml:space="preserve">hange.  </w:t>
      </w:r>
    </w:p>
    <w:p w14:paraId="3A69539A" w14:textId="77777777" w:rsidR="00022C96" w:rsidRDefault="00022C96" w:rsidP="00022C96">
      <w:pPr>
        <w:pStyle w:val="ListParagraph"/>
      </w:pPr>
    </w:p>
    <w:p w14:paraId="75B90BCA" w14:textId="27F9D8E6" w:rsidR="00AC3EDC" w:rsidRDefault="00022C96" w:rsidP="00D60520">
      <w:pPr>
        <w:pStyle w:val="ListParagraph"/>
        <w:numPr>
          <w:ilvl w:val="0"/>
          <w:numId w:val="2"/>
        </w:numPr>
      </w:pPr>
      <w:r>
        <w:t xml:space="preserve">Description of capacity and infrastructure to support students in academic programs and courses/curriculum. </w:t>
      </w:r>
      <w:r w:rsidR="00434C0D">
        <w:t>Given that t</w:t>
      </w:r>
      <w:r>
        <w:t xml:space="preserve">he </w:t>
      </w:r>
      <w:r w:rsidR="00434C0D">
        <w:t>department/DL</w:t>
      </w:r>
      <w:r w:rsidR="00206E1E">
        <w:t>A</w:t>
      </w:r>
      <w:r w:rsidR="00434C0D">
        <w:t>U</w:t>
      </w:r>
      <w:r>
        <w:t xml:space="preserve"> serves as the academic and administrative home </w:t>
      </w:r>
      <w:r w:rsidR="00434C0D">
        <w:t>for</w:t>
      </w:r>
      <w:r w:rsidR="00012212">
        <w:t xml:space="preserve"> transcripted academic</w:t>
      </w:r>
      <w:r w:rsidR="00434C0D">
        <w:t xml:space="preserve"> programs and Subjects, </w:t>
      </w:r>
      <w:r w:rsidR="00012212">
        <w:t xml:space="preserve">include in the proposal a description of </w:t>
      </w:r>
      <w:r w:rsidR="00434C0D">
        <w:t xml:space="preserve">the </w:t>
      </w:r>
      <w:r>
        <w:t xml:space="preserve">capacity </w:t>
      </w:r>
      <w:r w:rsidR="00434C0D">
        <w:t xml:space="preserve">to </w:t>
      </w:r>
      <w:r>
        <w:t xml:space="preserve">support students and fill the following roles: </w:t>
      </w:r>
      <w:r w:rsidR="00F40A10">
        <w:br/>
        <w:t xml:space="preserve">i) </w:t>
      </w:r>
      <w:r w:rsidR="00D60520">
        <w:t>originate</w:t>
      </w:r>
      <w:r>
        <w:t xml:space="preserve"> all program and curricular changes </w:t>
      </w:r>
      <w:r w:rsidR="00012212">
        <w:t>following standard</w:t>
      </w:r>
      <w:r>
        <w:t xml:space="preserve"> faculty governance</w:t>
      </w:r>
      <w:r w:rsidR="00012212">
        <w:t xml:space="preserve"> processes</w:t>
      </w:r>
      <w:r>
        <w:t>.</w:t>
      </w:r>
      <w:r w:rsidR="00F40A10">
        <w:br/>
        <w:t xml:space="preserve">ii) </w:t>
      </w:r>
      <w:r w:rsidR="00D60520">
        <w:t>assure</w:t>
      </w:r>
      <w:r>
        <w:t xml:space="preserve"> that the curriculum is appropriate for the program, fulfills the learning goals, and is sufficiently robust and</w:t>
      </w:r>
      <w:r w:rsidR="00012212">
        <w:t xml:space="preserve"> that</w:t>
      </w:r>
      <w:r>
        <w:t xml:space="preserve"> courses offered </w:t>
      </w:r>
      <w:r w:rsidR="00012212">
        <w:t>on a regular basis to support</w:t>
      </w:r>
      <w:r>
        <w:t xml:space="preserve"> student progress to degree</w:t>
      </w:r>
      <w:r w:rsidR="00F40A10">
        <w:t xml:space="preserve"> </w:t>
      </w:r>
      <w:r w:rsidR="00012212">
        <w:t>.</w:t>
      </w:r>
      <w:r w:rsidR="00F40A10">
        <w:br/>
        <w:t xml:space="preserve">iii) </w:t>
      </w:r>
      <w:r>
        <w:t xml:space="preserve">responsible for student support services such as advising and accurate communication </w:t>
      </w:r>
      <w:r w:rsidR="00012212">
        <w:t xml:space="preserve">to students and the public </w:t>
      </w:r>
      <w:r>
        <w:t>about the program or Subject</w:t>
      </w:r>
      <w:r w:rsidR="00012212">
        <w:t xml:space="preserve">. </w:t>
      </w:r>
      <w:r w:rsidR="00F40A10">
        <w:br/>
        <w:t xml:space="preserve">iv) </w:t>
      </w:r>
      <w:r w:rsidR="00D60520">
        <w:t>prepare</w:t>
      </w:r>
      <w:r>
        <w:t xml:space="preserve"> all content for the </w:t>
      </w:r>
      <w:r w:rsidRPr="00012212">
        <w:rPr>
          <w:i/>
        </w:rPr>
        <w:t>Guide</w:t>
      </w:r>
      <w:r w:rsidR="00012212">
        <w:t xml:space="preserve"> and assures that academic </w:t>
      </w:r>
      <w:r>
        <w:t>program</w:t>
      </w:r>
      <w:r w:rsidR="00012212">
        <w:t>s and</w:t>
      </w:r>
      <w:r>
        <w:t xml:space="preserve"> Subject</w:t>
      </w:r>
      <w:r w:rsidR="00012212">
        <w:t>s are</w:t>
      </w:r>
      <w:r>
        <w:t xml:space="preserve"> repr</w:t>
      </w:r>
      <w:r w:rsidR="00012212">
        <w:t>esented accurately.</w:t>
      </w:r>
      <w:r w:rsidR="00F40A10">
        <w:br/>
        <w:t xml:space="preserve">v) </w:t>
      </w:r>
      <w:r w:rsidR="00D60520">
        <w:t>oversee</w:t>
      </w:r>
      <w:r>
        <w:t xml:space="preserve"> the course evaluation proce</w:t>
      </w:r>
      <w:r w:rsidR="00F40A10">
        <w:t>ss for courses</w:t>
      </w:r>
      <w:r w:rsidR="00012212">
        <w:t xml:space="preserve">, and fulfils responsibilities for course scheduling and qualifications of instructors. </w:t>
      </w:r>
      <w:r w:rsidR="00D60520">
        <w:br/>
        <w:t>vi) fulfil</w:t>
      </w:r>
      <w:r w:rsidR="00F40A10">
        <w:t xml:space="preserve"> responsibilities for student learning outcomes assessment and </w:t>
      </w:r>
      <w:r>
        <w:t>program review for academic programs</w:t>
      </w:r>
      <w:r w:rsidR="00012212">
        <w:t xml:space="preserve">. </w:t>
      </w:r>
      <w:r w:rsidR="00F40A10">
        <w:br/>
        <w:t xml:space="preserve">vii) </w:t>
      </w:r>
      <w:r>
        <w:t>is the department/academic unit to which academic activity (program enrollments, degrees, certificate awards, credits) are allocated in the information systems.</w:t>
      </w:r>
    </w:p>
    <w:p w14:paraId="57064436" w14:textId="77777777" w:rsidR="00F40A10" w:rsidRDefault="00F40A10" w:rsidP="00F40A10">
      <w:pPr>
        <w:pStyle w:val="ListParagraph"/>
        <w:ind w:left="360"/>
      </w:pPr>
    </w:p>
    <w:p w14:paraId="279F3CAD" w14:textId="036C257B" w:rsidR="006C76D4" w:rsidRDefault="00EA0905" w:rsidP="006C76D4">
      <w:pPr>
        <w:pStyle w:val="ListParagraph"/>
        <w:numPr>
          <w:ilvl w:val="0"/>
          <w:numId w:val="2"/>
        </w:numPr>
        <w:ind w:left="360"/>
      </w:pPr>
      <w:r>
        <w:t>For</w:t>
      </w:r>
      <w:r w:rsidR="009E245A">
        <w:t xml:space="preserve"> a </w:t>
      </w:r>
      <w:r w:rsidR="00434C0D">
        <w:t>department/DL</w:t>
      </w:r>
      <w:r w:rsidR="00206E1E">
        <w:t>A</w:t>
      </w:r>
      <w:r w:rsidR="00434C0D">
        <w:t xml:space="preserve">U </w:t>
      </w:r>
      <w:r w:rsidR="009E245A">
        <w:t>restructuring</w:t>
      </w:r>
      <w:r>
        <w:t xml:space="preserve"> </w:t>
      </w:r>
      <w:r w:rsidR="00434C0D">
        <w:t>proposal that</w:t>
      </w:r>
      <w:r w:rsidR="009E245A">
        <w:t xml:space="preserve"> </w:t>
      </w:r>
      <w:r w:rsidR="00012212">
        <w:t>is associated with the</w:t>
      </w:r>
      <w:r w:rsidR="009E245A">
        <w:t xml:space="preserve"> discontinuation of </w:t>
      </w:r>
      <w:r w:rsidR="00012212">
        <w:t>an academic program</w:t>
      </w:r>
      <w:r w:rsidR="009E245A">
        <w:t>, a short summary of plans for supporting students through teach out should be include</w:t>
      </w:r>
      <w:r>
        <w:t>d</w:t>
      </w:r>
      <w:r w:rsidR="00434C0D">
        <w:t xml:space="preserve"> in the </w:t>
      </w:r>
      <w:r w:rsidR="00012212">
        <w:t xml:space="preserve">department restructuring </w:t>
      </w:r>
      <w:r w:rsidR="00434C0D">
        <w:t>proposal</w:t>
      </w:r>
      <w:r>
        <w:t xml:space="preserve"> (FPP Ch 5.02.B.4). </w:t>
      </w:r>
      <w:r w:rsidR="00D60520">
        <w:t xml:space="preserve"> In addition, a</w:t>
      </w:r>
      <w:r>
        <w:t xml:space="preserve"> </w:t>
      </w:r>
      <w:r w:rsidR="00FF7AFF">
        <w:t xml:space="preserve">separate </w:t>
      </w:r>
      <w:r w:rsidR="009E245A">
        <w:t xml:space="preserve">proposal for the discontinuation of </w:t>
      </w:r>
      <w:r w:rsidR="00434C0D">
        <w:t>the degree/major or certificate</w:t>
      </w:r>
      <w:r w:rsidR="00F1329B">
        <w:t xml:space="preserve"> </w:t>
      </w:r>
      <w:r w:rsidR="009E245A">
        <w:t>in question</w:t>
      </w:r>
      <w:r w:rsidR="00FF7AFF">
        <w:t xml:space="preserve"> must also be submitted for approval</w:t>
      </w:r>
      <w:r>
        <w:t xml:space="preserve"> according to UAPC policy</w:t>
      </w:r>
      <w:r w:rsidR="00012212">
        <w:t xml:space="preserve"> and through standard governance approval</w:t>
      </w:r>
      <w:r w:rsidR="009E245A">
        <w:t xml:space="preserve">. </w:t>
      </w:r>
    </w:p>
    <w:p w14:paraId="1B298D9B" w14:textId="77777777" w:rsidR="006C76D4" w:rsidRDefault="006C76D4" w:rsidP="006C76D4">
      <w:pPr>
        <w:pStyle w:val="ListParagraph"/>
        <w:ind w:left="360"/>
      </w:pPr>
    </w:p>
    <w:p w14:paraId="265598EE" w14:textId="090457EE" w:rsidR="006C76D4" w:rsidRDefault="006C76D4" w:rsidP="006C76D4">
      <w:pPr>
        <w:pStyle w:val="ListParagraph"/>
        <w:numPr>
          <w:ilvl w:val="0"/>
          <w:numId w:val="2"/>
        </w:numPr>
        <w:ind w:left="360"/>
      </w:pPr>
      <w:r>
        <w:t xml:space="preserve">Attach memos of concurrence or support from any existing departments or schools/colleges that may have an interest in the restructuring proposal.  This would be units with substantial overlapping interests in faculty or for academic programs or curriculum.  </w:t>
      </w:r>
    </w:p>
    <w:p w14:paraId="222A97A0" w14:textId="77777777" w:rsidR="006C76D4" w:rsidRDefault="006C76D4" w:rsidP="006C76D4">
      <w:pPr>
        <w:pStyle w:val="ListParagraph"/>
        <w:ind w:left="360"/>
      </w:pPr>
    </w:p>
    <w:p w14:paraId="342D4939" w14:textId="02E95D06" w:rsidR="00386589" w:rsidRDefault="006C76D4" w:rsidP="00EA0905">
      <w:pPr>
        <w:pStyle w:val="ListParagraph"/>
        <w:numPr>
          <w:ilvl w:val="0"/>
          <w:numId w:val="2"/>
        </w:numPr>
        <w:ind w:left="360"/>
      </w:pPr>
      <w:r>
        <w:t xml:space="preserve">Attached a Department ID Action Request Form to the proposal.  This form is used by Business Services to create, delete and/or replace, and change a department's accounting structure by unit, department, </w:t>
      </w:r>
      <w:r>
        <w:lastRenderedPageBreak/>
        <w:t xml:space="preserve">and subdepartment. Additions and changes require the name, activities, budget classes, and funding by budget year (formerly UDDS Action Request Form).  See </w:t>
      </w:r>
      <w:hyperlink r:id="rId13" w:history="1">
        <w:r w:rsidRPr="00EE6283">
          <w:rPr>
            <w:rStyle w:val="Hyperlink"/>
          </w:rPr>
          <w:t>https://www.bussvc.wisc.edu/acct/forms.html</w:t>
        </w:r>
      </w:hyperlink>
      <w:r>
        <w:t xml:space="preserve"> </w:t>
      </w:r>
    </w:p>
    <w:p w14:paraId="527D4E63" w14:textId="77777777" w:rsidR="00386589" w:rsidRDefault="00386589" w:rsidP="00EA0905">
      <w:pPr>
        <w:contextualSpacing/>
      </w:pPr>
    </w:p>
    <w:p w14:paraId="053F12B9" w14:textId="43C29370" w:rsidR="00EA0905" w:rsidRPr="00D60520" w:rsidRDefault="00EA0905" w:rsidP="00EA0905">
      <w:pPr>
        <w:tabs>
          <w:tab w:val="left" w:pos="4305"/>
        </w:tabs>
        <w:contextualSpacing/>
        <w:rPr>
          <w:b/>
        </w:rPr>
      </w:pPr>
      <w:r w:rsidRPr="00F40A10">
        <w:rPr>
          <w:b/>
        </w:rPr>
        <w:t>Approval Steps (FPP Ch5.02.C.)</w:t>
      </w:r>
    </w:p>
    <w:p w14:paraId="5FBDFC13" w14:textId="1D106A57" w:rsidR="00544E5D" w:rsidRDefault="00EA0905" w:rsidP="00EA0905">
      <w:pPr>
        <w:pStyle w:val="ListParagraph"/>
        <w:numPr>
          <w:ilvl w:val="0"/>
          <w:numId w:val="3"/>
        </w:numPr>
        <w:tabs>
          <w:tab w:val="left" w:pos="4305"/>
        </w:tabs>
      </w:pPr>
      <w:r>
        <w:t>The faculty of the affected departments</w:t>
      </w:r>
      <w:r w:rsidR="00012212">
        <w:t xml:space="preserve"> develop the proposal.  The faculty take a formal vote for approval of the proposal</w:t>
      </w:r>
      <w:r>
        <w:t xml:space="preserve">.  </w:t>
      </w:r>
      <w:r w:rsidR="007E3C74">
        <w:t>Vote</w:t>
      </w:r>
      <w:r>
        <w:t xml:space="preserve"> summaries and faculty r</w:t>
      </w:r>
      <w:r w:rsidR="00012212">
        <w:t xml:space="preserve">ole and rank must be documented, and a summary of the vote tallies must be included </w:t>
      </w:r>
      <w:r>
        <w:t>in the proposal</w:t>
      </w:r>
      <w:r w:rsidR="007D0B74">
        <w:t xml:space="preserve"> document, Section </w:t>
      </w:r>
      <w:r w:rsidR="00012212">
        <w:t>E</w:t>
      </w:r>
      <w:r>
        <w:t xml:space="preserve">.  </w:t>
      </w:r>
      <w:r w:rsidR="00022C96">
        <w:br/>
      </w:r>
      <w:r w:rsidR="00022C96">
        <w:br/>
      </w:r>
      <w:r>
        <w:t xml:space="preserve">For new departments, votes include all current tenure and tenure-track faculty who </w:t>
      </w:r>
      <w:r w:rsidR="00012212">
        <w:t xml:space="preserve">are proposed to be members of the </w:t>
      </w:r>
      <w:r>
        <w:t xml:space="preserve">new department (full or partial tenure home) and any faculty who </w:t>
      </w:r>
      <w:r w:rsidR="00012212">
        <w:t xml:space="preserve">the proposal names as </w:t>
      </w:r>
      <w:r>
        <w:t xml:space="preserve">seeking a joint executive/departmental appointment.  </w:t>
      </w:r>
      <w:r w:rsidR="00022C96">
        <w:br/>
      </w:r>
      <w:r w:rsidR="00022C96">
        <w:br/>
      </w:r>
      <w:r>
        <w:t>For</w:t>
      </w:r>
      <w:r w:rsidR="001E7ED2">
        <w:t xml:space="preserve"> restructuring of</w:t>
      </w:r>
      <w:r>
        <w:t xml:space="preserve"> DL</w:t>
      </w:r>
      <w:r w:rsidR="00206E1E">
        <w:t>A</w:t>
      </w:r>
      <w:r>
        <w:t>U</w:t>
      </w:r>
      <w:r w:rsidR="00386589">
        <w:t xml:space="preserve">, votes will include all faculty with tenure and </w:t>
      </w:r>
      <w:r w:rsidR="007E3C74">
        <w:t xml:space="preserve">all faculty who are joint executive/departmental appointees and all Category B instructional academic staff </w:t>
      </w:r>
      <w:r w:rsidR="007E3C74" w:rsidRPr="007E3C74">
        <w:t>who</w:t>
      </w:r>
      <w:r w:rsidR="007E3C74">
        <w:t xml:space="preserve"> are part of the department governance, following procedures for governance identified in the proposal.   </w:t>
      </w:r>
    </w:p>
    <w:p w14:paraId="167C5FF0" w14:textId="77777777" w:rsidR="00022C96" w:rsidRDefault="00022C96" w:rsidP="00022C96">
      <w:pPr>
        <w:pStyle w:val="ListParagraph"/>
        <w:tabs>
          <w:tab w:val="left" w:pos="4305"/>
        </w:tabs>
      </w:pPr>
    </w:p>
    <w:p w14:paraId="3C793768" w14:textId="0EE7E36C" w:rsidR="00022C96" w:rsidRDefault="007E3C74" w:rsidP="00EA0905">
      <w:pPr>
        <w:pStyle w:val="ListParagraph"/>
        <w:numPr>
          <w:ilvl w:val="0"/>
          <w:numId w:val="3"/>
        </w:numPr>
      </w:pPr>
      <w:r>
        <w:t>The governance body of the participating s</w:t>
      </w:r>
      <w:r w:rsidR="00AF4756">
        <w:t>chools/colleges, usually their academic planning council</w:t>
      </w:r>
      <w:r w:rsidR="001E7ED2">
        <w:t>,</w:t>
      </w:r>
      <w:r w:rsidR="00012212">
        <w:t xml:space="preserve"> consider</w:t>
      </w:r>
      <w:r w:rsidR="00AF4756">
        <w:t>s</w:t>
      </w:r>
      <w:r w:rsidR="00012212">
        <w:t xml:space="preserve"> and approve</w:t>
      </w:r>
      <w:r w:rsidR="00AF4756">
        <w:t>s</w:t>
      </w:r>
      <w:r w:rsidR="00012212">
        <w:t xml:space="preserve"> the proposal</w:t>
      </w:r>
      <w:r>
        <w:t>.  This vote should take place at least six months in advance of the effective date of the action</w:t>
      </w:r>
      <w:r w:rsidR="00386589">
        <w:t xml:space="preserve">; effective dates are typically the </w:t>
      </w:r>
      <w:r>
        <w:t>beg</w:t>
      </w:r>
      <w:r w:rsidR="00012212">
        <w:t>i</w:t>
      </w:r>
      <w:r w:rsidR="006C76D4">
        <w:t xml:space="preserve">nning of a fiscal year, July 1. </w:t>
      </w:r>
    </w:p>
    <w:p w14:paraId="114F539F" w14:textId="77777777" w:rsidR="00022C96" w:rsidRDefault="00022C96" w:rsidP="00022C96">
      <w:pPr>
        <w:pStyle w:val="ListParagraph"/>
      </w:pPr>
    </w:p>
    <w:p w14:paraId="2B47AF23" w14:textId="0C16803B" w:rsidR="00022C96" w:rsidRDefault="007E3C74" w:rsidP="00EA0905">
      <w:pPr>
        <w:pStyle w:val="ListParagraph"/>
        <w:numPr>
          <w:ilvl w:val="0"/>
          <w:numId w:val="3"/>
        </w:numPr>
      </w:pPr>
      <w:r>
        <w:t xml:space="preserve">The Graduate Faculty Executive Committee, for proposals related to </w:t>
      </w:r>
      <w:r w:rsidR="00012212">
        <w:t>departments and department-</w:t>
      </w:r>
      <w:r w:rsidR="006C76D4">
        <w:t>like units</w:t>
      </w:r>
      <w:r>
        <w:t xml:space="preserve"> that include graduate programs (that is, programs that enroll </w:t>
      </w:r>
      <w:r w:rsidR="006C76D4">
        <w:t xml:space="preserve">students in the “GRAD” career) will </w:t>
      </w:r>
      <w:r w:rsidR="00386589">
        <w:t xml:space="preserve">have an opportunity for a reading of </w:t>
      </w:r>
      <w:r w:rsidR="006C76D4">
        <w:t xml:space="preserve">the proposal.  </w:t>
      </w:r>
    </w:p>
    <w:p w14:paraId="7816AA47" w14:textId="77777777" w:rsidR="00022C96" w:rsidRDefault="00022C96" w:rsidP="00022C96">
      <w:pPr>
        <w:pStyle w:val="ListParagraph"/>
      </w:pPr>
    </w:p>
    <w:p w14:paraId="188F5A76" w14:textId="48AE2FE7" w:rsidR="00022C96" w:rsidRDefault="007E3C74" w:rsidP="00EA0905">
      <w:pPr>
        <w:pStyle w:val="ListParagraph"/>
        <w:numPr>
          <w:ilvl w:val="0"/>
          <w:numId w:val="3"/>
        </w:numPr>
      </w:pPr>
      <w:r>
        <w:t xml:space="preserve">The University Academic Planning Council </w:t>
      </w:r>
      <w:r w:rsidR="006C76D4">
        <w:t xml:space="preserve">considers and approvals </w:t>
      </w:r>
      <w:r>
        <w:t xml:space="preserve">all proposals related to </w:t>
      </w:r>
      <w:r w:rsidR="006C76D4">
        <w:t xml:space="preserve">departmental and department-like </w:t>
      </w:r>
      <w:r w:rsidR="001E7ED2">
        <w:t xml:space="preserve">academic </w:t>
      </w:r>
      <w:r w:rsidR="006C76D4">
        <w:t>unit restructuring</w:t>
      </w:r>
      <w:r>
        <w:t xml:space="preserve">.  The UAPC is the body that makes the formal recommendation to the provost and chancellor for approval.  </w:t>
      </w:r>
      <w:r w:rsidR="00804172">
        <w:t xml:space="preserve">If it hasn’t happened earlier, this step typically involves consultation between </w:t>
      </w:r>
      <w:r w:rsidR="006C76D4">
        <w:t xml:space="preserve">the director of academic planning in the </w:t>
      </w:r>
      <w:r w:rsidR="00804172">
        <w:t xml:space="preserve">Provost’s Office and the Secretary of the Faculty and the University Committee.  </w:t>
      </w:r>
      <w:r w:rsidR="00386589">
        <w:t xml:space="preserve"> </w:t>
      </w:r>
    </w:p>
    <w:p w14:paraId="4E8E0D4D" w14:textId="77777777" w:rsidR="00022C96" w:rsidRDefault="00022C96" w:rsidP="00022C96">
      <w:pPr>
        <w:pStyle w:val="ListParagraph"/>
      </w:pPr>
    </w:p>
    <w:p w14:paraId="3AA111CC" w14:textId="6E72637A" w:rsidR="00022C96" w:rsidRDefault="00386589" w:rsidP="00EA0905">
      <w:pPr>
        <w:pStyle w:val="ListParagraph"/>
        <w:numPr>
          <w:ilvl w:val="0"/>
          <w:numId w:val="3"/>
        </w:numPr>
      </w:pPr>
      <w:r w:rsidRPr="00386589">
        <w:rPr>
          <w:u w:val="single"/>
        </w:rPr>
        <w:t>For departments</w:t>
      </w:r>
      <w:r>
        <w:t>, the</w:t>
      </w:r>
      <w:r w:rsidR="006C76D4">
        <w:t xml:space="preserve"> </w:t>
      </w:r>
      <w:r w:rsidR="007E3C74">
        <w:t>Faculty Senate</w:t>
      </w:r>
      <w:r w:rsidR="00804172">
        <w:t xml:space="preserve"> </w:t>
      </w:r>
      <w:r w:rsidR="00AF4756">
        <w:t xml:space="preserve">hears the proposal </w:t>
      </w:r>
      <w:r w:rsidR="00804172">
        <w:t xml:space="preserve">for discussion.  </w:t>
      </w:r>
      <w:r w:rsidR="006C76D4">
        <w:t xml:space="preserve">The proposal timeline should be such that the proposal is scheduled for presentation no later than the April meeting before the July 1 effective date.   </w:t>
      </w:r>
      <w:r>
        <w:br/>
      </w:r>
      <w:r w:rsidRPr="00BE68AA">
        <w:rPr>
          <w:u w:val="single"/>
        </w:rPr>
        <w:t>For department-like units that serve as tenure homes</w:t>
      </w:r>
      <w:r>
        <w:t xml:space="preserve">, the University Committee must approve the proposal following UAPC approval.  Tacit approval from the UC should already be in place before UAPC consideration.  There is no Faculty Senate reading. </w:t>
      </w:r>
      <w:r>
        <w:br/>
      </w:r>
      <w:r w:rsidRPr="00BE68AA">
        <w:rPr>
          <w:u w:val="single"/>
        </w:rPr>
        <w:t>For depart</w:t>
      </w:r>
      <w:r w:rsidR="00BE68AA" w:rsidRPr="00BE68AA">
        <w:rPr>
          <w:u w:val="single"/>
        </w:rPr>
        <w:t>ment-like units with no faculty tenure</w:t>
      </w:r>
      <w:r w:rsidR="00BE68AA">
        <w:t xml:space="preserve">, there is no additional UC or Senate approval unless review is requested by the chair of the University Committee.  </w:t>
      </w:r>
    </w:p>
    <w:p w14:paraId="50349C3F" w14:textId="77777777" w:rsidR="00022C96" w:rsidRDefault="00022C96" w:rsidP="00022C96">
      <w:pPr>
        <w:pStyle w:val="ListParagraph"/>
      </w:pPr>
    </w:p>
    <w:p w14:paraId="74A56EF4" w14:textId="514F7DD9" w:rsidR="007E3C74" w:rsidRDefault="00804172" w:rsidP="004C7F02">
      <w:pPr>
        <w:pStyle w:val="ListParagraph"/>
        <w:numPr>
          <w:ilvl w:val="0"/>
          <w:numId w:val="3"/>
        </w:numPr>
      </w:pPr>
      <w:r>
        <w:t xml:space="preserve">Finally, proposals that </w:t>
      </w:r>
      <w:r w:rsidR="006C76D4">
        <w:t xml:space="preserve">have completed </w:t>
      </w:r>
      <w:r w:rsidR="00BE68AA">
        <w:t>all</w:t>
      </w:r>
      <w:r w:rsidR="006C76D4">
        <w:t xml:space="preserve"> approval steps</w:t>
      </w:r>
      <w:r>
        <w:t xml:space="preserve"> are reported by Academic Planning/Provost’s Office to all impacted UW-Madison offices, and to UW System Administration.  By UWSA policy, no Board of Regent action is required for department restructuring</w:t>
      </w:r>
      <w:r w:rsidR="00022C96">
        <w:t xml:space="preserve"> per se</w:t>
      </w:r>
      <w:r>
        <w:t xml:space="preserve">; UAPC policy will be followed for academic program changes that are proposed in tandem with the department restructuring proposal.  </w:t>
      </w:r>
      <w:r w:rsidR="00022C96">
        <w:t>Board of Regent approval may be sought in selected situations.</w:t>
      </w:r>
      <w:r w:rsidR="004C7F02">
        <w:t xml:space="preserve"> </w:t>
      </w:r>
      <w:bookmarkStart w:id="0" w:name="_GoBack"/>
      <w:bookmarkEnd w:id="0"/>
    </w:p>
    <w:sectPr w:rsidR="007E3C74" w:rsidSect="00F530E2">
      <w:footerReference w:type="default" r:id="rId14"/>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9600D" w14:textId="77777777" w:rsidR="009A6CA1" w:rsidRDefault="009A6CA1" w:rsidP="00F40A10">
      <w:pPr>
        <w:spacing w:after="0" w:line="240" w:lineRule="auto"/>
      </w:pPr>
      <w:r>
        <w:separator/>
      </w:r>
    </w:p>
  </w:endnote>
  <w:endnote w:type="continuationSeparator" w:id="0">
    <w:p w14:paraId="0E7D4377" w14:textId="77777777" w:rsidR="009A6CA1" w:rsidRDefault="009A6CA1" w:rsidP="00F4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409027"/>
      <w:docPartObj>
        <w:docPartGallery w:val="Page Numbers (Bottom of Page)"/>
        <w:docPartUnique/>
      </w:docPartObj>
    </w:sdtPr>
    <w:sdtContent>
      <w:sdt>
        <w:sdtPr>
          <w:id w:val="-1769616900"/>
          <w:docPartObj>
            <w:docPartGallery w:val="Page Numbers (Top of Page)"/>
            <w:docPartUnique/>
          </w:docPartObj>
        </w:sdtPr>
        <w:sdtContent>
          <w:p w14:paraId="58E90A44" w14:textId="0D786420" w:rsidR="009A6CA1" w:rsidRDefault="009A6CA1">
            <w:pPr>
              <w:pStyle w:val="Footer"/>
              <w:jc w:val="right"/>
            </w:pPr>
            <w:r>
              <w:t xml:space="preserve">DRAFT UAPC Guidelines for Academic Units JLM </w:t>
            </w:r>
            <w:r w:rsidR="004234B4">
              <w:t>V 3 15</w:t>
            </w:r>
            <w:r>
              <w:t xml:space="preserve"> 2018 Page </w:t>
            </w:r>
            <w:r>
              <w:rPr>
                <w:b/>
                <w:bCs/>
                <w:sz w:val="24"/>
                <w:szCs w:val="24"/>
              </w:rPr>
              <w:fldChar w:fldCharType="begin"/>
            </w:r>
            <w:r>
              <w:rPr>
                <w:b/>
                <w:bCs/>
              </w:rPr>
              <w:instrText xml:space="preserve"> PAGE </w:instrText>
            </w:r>
            <w:r>
              <w:rPr>
                <w:b/>
                <w:bCs/>
                <w:sz w:val="24"/>
                <w:szCs w:val="24"/>
              </w:rPr>
              <w:fldChar w:fldCharType="separate"/>
            </w:r>
            <w:r w:rsidR="004C7F0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7F02">
              <w:rPr>
                <w:b/>
                <w:bCs/>
                <w:noProof/>
              </w:rPr>
              <w:t>8</w:t>
            </w:r>
            <w:r>
              <w:rPr>
                <w:b/>
                <w:bCs/>
                <w:sz w:val="24"/>
                <w:szCs w:val="24"/>
              </w:rPr>
              <w:fldChar w:fldCharType="end"/>
            </w:r>
          </w:p>
        </w:sdtContent>
      </w:sdt>
    </w:sdtContent>
  </w:sdt>
  <w:p w14:paraId="7F3BAB57" w14:textId="77777777" w:rsidR="009A6CA1" w:rsidRDefault="009A6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067D" w14:textId="77777777" w:rsidR="009A6CA1" w:rsidRDefault="009A6CA1" w:rsidP="00F40A10">
      <w:pPr>
        <w:spacing w:after="0" w:line="240" w:lineRule="auto"/>
      </w:pPr>
      <w:r>
        <w:separator/>
      </w:r>
    </w:p>
  </w:footnote>
  <w:footnote w:type="continuationSeparator" w:id="0">
    <w:p w14:paraId="41145BDB" w14:textId="77777777" w:rsidR="009A6CA1" w:rsidRDefault="009A6CA1" w:rsidP="00F40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1688"/>
    <w:multiLevelType w:val="hybridMultilevel"/>
    <w:tmpl w:val="13C4A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513E7"/>
    <w:multiLevelType w:val="hybridMultilevel"/>
    <w:tmpl w:val="D974E1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D71AAD"/>
    <w:multiLevelType w:val="hybridMultilevel"/>
    <w:tmpl w:val="6590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A143B"/>
    <w:multiLevelType w:val="hybridMultilevel"/>
    <w:tmpl w:val="F2763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FA"/>
    <w:rsid w:val="0000439F"/>
    <w:rsid w:val="00012212"/>
    <w:rsid w:val="00017FC2"/>
    <w:rsid w:val="00021529"/>
    <w:rsid w:val="00022C96"/>
    <w:rsid w:val="000369E7"/>
    <w:rsid w:val="00050BD3"/>
    <w:rsid w:val="00063B55"/>
    <w:rsid w:val="00064D61"/>
    <w:rsid w:val="00065869"/>
    <w:rsid w:val="000763FC"/>
    <w:rsid w:val="00076B56"/>
    <w:rsid w:val="00077F99"/>
    <w:rsid w:val="0008251E"/>
    <w:rsid w:val="00091D03"/>
    <w:rsid w:val="000A54A1"/>
    <w:rsid w:val="000B2D6A"/>
    <w:rsid w:val="000B3521"/>
    <w:rsid w:val="000B7337"/>
    <w:rsid w:val="000C2CDB"/>
    <w:rsid w:val="000C5B75"/>
    <w:rsid w:val="000D3643"/>
    <w:rsid w:val="000E0ADB"/>
    <w:rsid w:val="000F624C"/>
    <w:rsid w:val="00100136"/>
    <w:rsid w:val="00101370"/>
    <w:rsid w:val="001048FF"/>
    <w:rsid w:val="001100E8"/>
    <w:rsid w:val="001111E8"/>
    <w:rsid w:val="001229DD"/>
    <w:rsid w:val="001249E3"/>
    <w:rsid w:val="001271F5"/>
    <w:rsid w:val="00127ED4"/>
    <w:rsid w:val="00135B28"/>
    <w:rsid w:val="00146F63"/>
    <w:rsid w:val="001511E3"/>
    <w:rsid w:val="001517DB"/>
    <w:rsid w:val="00151A78"/>
    <w:rsid w:val="00152492"/>
    <w:rsid w:val="00152DAA"/>
    <w:rsid w:val="00153967"/>
    <w:rsid w:val="001565A5"/>
    <w:rsid w:val="00161999"/>
    <w:rsid w:val="00161D39"/>
    <w:rsid w:val="001625F3"/>
    <w:rsid w:val="00170165"/>
    <w:rsid w:val="001717A6"/>
    <w:rsid w:val="00171AD3"/>
    <w:rsid w:val="0017504B"/>
    <w:rsid w:val="00176D80"/>
    <w:rsid w:val="00180B1A"/>
    <w:rsid w:val="00182CB9"/>
    <w:rsid w:val="00187D5C"/>
    <w:rsid w:val="00191FC4"/>
    <w:rsid w:val="0019212C"/>
    <w:rsid w:val="001969B5"/>
    <w:rsid w:val="001A1C20"/>
    <w:rsid w:val="001A6DE2"/>
    <w:rsid w:val="001B21AF"/>
    <w:rsid w:val="001B4F83"/>
    <w:rsid w:val="001B5362"/>
    <w:rsid w:val="001C2F08"/>
    <w:rsid w:val="001D3334"/>
    <w:rsid w:val="001D5EAA"/>
    <w:rsid w:val="001D7290"/>
    <w:rsid w:val="001E4576"/>
    <w:rsid w:val="001E7ED2"/>
    <w:rsid w:val="001F03B1"/>
    <w:rsid w:val="001F0898"/>
    <w:rsid w:val="001F5A7B"/>
    <w:rsid w:val="00201016"/>
    <w:rsid w:val="00202A7D"/>
    <w:rsid w:val="00206E1E"/>
    <w:rsid w:val="002070BD"/>
    <w:rsid w:val="00215A11"/>
    <w:rsid w:val="00220FA3"/>
    <w:rsid w:val="00235461"/>
    <w:rsid w:val="00235D12"/>
    <w:rsid w:val="0024057F"/>
    <w:rsid w:val="00241A25"/>
    <w:rsid w:val="00241BBC"/>
    <w:rsid w:val="002425CA"/>
    <w:rsid w:val="00246E11"/>
    <w:rsid w:val="00251471"/>
    <w:rsid w:val="00251B4B"/>
    <w:rsid w:val="002525B5"/>
    <w:rsid w:val="00254116"/>
    <w:rsid w:val="00254144"/>
    <w:rsid w:val="00254FC8"/>
    <w:rsid w:val="00265853"/>
    <w:rsid w:val="00267EB3"/>
    <w:rsid w:val="002706A4"/>
    <w:rsid w:val="002725E6"/>
    <w:rsid w:val="00272C3B"/>
    <w:rsid w:val="00274873"/>
    <w:rsid w:val="00285D7D"/>
    <w:rsid w:val="002A0151"/>
    <w:rsid w:val="002A191B"/>
    <w:rsid w:val="002C0855"/>
    <w:rsid w:val="002C3A97"/>
    <w:rsid w:val="002D2E49"/>
    <w:rsid w:val="002D480E"/>
    <w:rsid w:val="002E5642"/>
    <w:rsid w:val="002E5674"/>
    <w:rsid w:val="002E7538"/>
    <w:rsid w:val="002F2A1A"/>
    <w:rsid w:val="00316988"/>
    <w:rsid w:val="00317EC8"/>
    <w:rsid w:val="00321B86"/>
    <w:rsid w:val="00324DAE"/>
    <w:rsid w:val="00326F8E"/>
    <w:rsid w:val="00331E97"/>
    <w:rsid w:val="003321F5"/>
    <w:rsid w:val="0033439A"/>
    <w:rsid w:val="00334490"/>
    <w:rsid w:val="00336D47"/>
    <w:rsid w:val="00336E29"/>
    <w:rsid w:val="00340B0D"/>
    <w:rsid w:val="003416C1"/>
    <w:rsid w:val="00341E9A"/>
    <w:rsid w:val="00352D88"/>
    <w:rsid w:val="00354183"/>
    <w:rsid w:val="00355AD8"/>
    <w:rsid w:val="00355DC6"/>
    <w:rsid w:val="003600B7"/>
    <w:rsid w:val="00361575"/>
    <w:rsid w:val="00363623"/>
    <w:rsid w:val="0037321A"/>
    <w:rsid w:val="00380592"/>
    <w:rsid w:val="00386589"/>
    <w:rsid w:val="00393D6E"/>
    <w:rsid w:val="003955B9"/>
    <w:rsid w:val="003A06C0"/>
    <w:rsid w:val="003A10AC"/>
    <w:rsid w:val="003C0507"/>
    <w:rsid w:val="003C2B94"/>
    <w:rsid w:val="003D0EE5"/>
    <w:rsid w:val="003D6026"/>
    <w:rsid w:val="003F7FE4"/>
    <w:rsid w:val="00403583"/>
    <w:rsid w:val="00407C28"/>
    <w:rsid w:val="00410D2D"/>
    <w:rsid w:val="00413FA2"/>
    <w:rsid w:val="00414231"/>
    <w:rsid w:val="00415385"/>
    <w:rsid w:val="00423150"/>
    <w:rsid w:val="004234B4"/>
    <w:rsid w:val="0042673A"/>
    <w:rsid w:val="00432180"/>
    <w:rsid w:val="00434C0D"/>
    <w:rsid w:val="00443A01"/>
    <w:rsid w:val="00443C93"/>
    <w:rsid w:val="004451ED"/>
    <w:rsid w:val="00451C5A"/>
    <w:rsid w:val="004538AD"/>
    <w:rsid w:val="00453AEE"/>
    <w:rsid w:val="00454A15"/>
    <w:rsid w:val="00457FC5"/>
    <w:rsid w:val="0046023E"/>
    <w:rsid w:val="00460608"/>
    <w:rsid w:val="004611FA"/>
    <w:rsid w:val="0046189D"/>
    <w:rsid w:val="00461D3C"/>
    <w:rsid w:val="00465A53"/>
    <w:rsid w:val="00473243"/>
    <w:rsid w:val="00475377"/>
    <w:rsid w:val="00485822"/>
    <w:rsid w:val="00487557"/>
    <w:rsid w:val="004955C3"/>
    <w:rsid w:val="004A2796"/>
    <w:rsid w:val="004A4055"/>
    <w:rsid w:val="004B00A8"/>
    <w:rsid w:val="004B20AD"/>
    <w:rsid w:val="004B51FB"/>
    <w:rsid w:val="004B5D42"/>
    <w:rsid w:val="004B6906"/>
    <w:rsid w:val="004B7A80"/>
    <w:rsid w:val="004C30A1"/>
    <w:rsid w:val="004C3FC6"/>
    <w:rsid w:val="004C5CDE"/>
    <w:rsid w:val="004C6DFF"/>
    <w:rsid w:val="004C7F02"/>
    <w:rsid w:val="004D1AF5"/>
    <w:rsid w:val="004D4979"/>
    <w:rsid w:val="004D6A06"/>
    <w:rsid w:val="004E0BE9"/>
    <w:rsid w:val="004E21F7"/>
    <w:rsid w:val="004E23CB"/>
    <w:rsid w:val="004E2810"/>
    <w:rsid w:val="004E3A8F"/>
    <w:rsid w:val="004E4E20"/>
    <w:rsid w:val="004E5BD4"/>
    <w:rsid w:val="004F5F38"/>
    <w:rsid w:val="00507276"/>
    <w:rsid w:val="00510919"/>
    <w:rsid w:val="005119FF"/>
    <w:rsid w:val="005258CD"/>
    <w:rsid w:val="0053125A"/>
    <w:rsid w:val="0053166A"/>
    <w:rsid w:val="00532E38"/>
    <w:rsid w:val="00533A3A"/>
    <w:rsid w:val="00544E5D"/>
    <w:rsid w:val="00545333"/>
    <w:rsid w:val="005471DD"/>
    <w:rsid w:val="005518A7"/>
    <w:rsid w:val="00554346"/>
    <w:rsid w:val="00554451"/>
    <w:rsid w:val="00556E2E"/>
    <w:rsid w:val="00557019"/>
    <w:rsid w:val="00557A4F"/>
    <w:rsid w:val="00560939"/>
    <w:rsid w:val="0056129D"/>
    <w:rsid w:val="0056452B"/>
    <w:rsid w:val="00573CA4"/>
    <w:rsid w:val="00575C7E"/>
    <w:rsid w:val="00582E45"/>
    <w:rsid w:val="00583D96"/>
    <w:rsid w:val="00584193"/>
    <w:rsid w:val="00591932"/>
    <w:rsid w:val="00593CB0"/>
    <w:rsid w:val="005953E7"/>
    <w:rsid w:val="00595EC1"/>
    <w:rsid w:val="005A1E29"/>
    <w:rsid w:val="005A2B7D"/>
    <w:rsid w:val="005A3655"/>
    <w:rsid w:val="005B3966"/>
    <w:rsid w:val="005C2A04"/>
    <w:rsid w:val="005C2E26"/>
    <w:rsid w:val="005C46A6"/>
    <w:rsid w:val="005C5066"/>
    <w:rsid w:val="005C5DC1"/>
    <w:rsid w:val="005F2940"/>
    <w:rsid w:val="005F2FC0"/>
    <w:rsid w:val="005F5421"/>
    <w:rsid w:val="005F7C7C"/>
    <w:rsid w:val="00600116"/>
    <w:rsid w:val="00600AD5"/>
    <w:rsid w:val="00600B5C"/>
    <w:rsid w:val="00603420"/>
    <w:rsid w:val="006056C1"/>
    <w:rsid w:val="006120AB"/>
    <w:rsid w:val="006153ED"/>
    <w:rsid w:val="00616D2F"/>
    <w:rsid w:val="006176D4"/>
    <w:rsid w:val="00617D67"/>
    <w:rsid w:val="006252CE"/>
    <w:rsid w:val="00627B6C"/>
    <w:rsid w:val="00636332"/>
    <w:rsid w:val="006455BF"/>
    <w:rsid w:val="00647C78"/>
    <w:rsid w:val="0065174D"/>
    <w:rsid w:val="00656BDC"/>
    <w:rsid w:val="006611EF"/>
    <w:rsid w:val="00674290"/>
    <w:rsid w:val="0067577E"/>
    <w:rsid w:val="006807F8"/>
    <w:rsid w:val="006877FD"/>
    <w:rsid w:val="00691440"/>
    <w:rsid w:val="006A36B6"/>
    <w:rsid w:val="006A444E"/>
    <w:rsid w:val="006C190C"/>
    <w:rsid w:val="006C4F90"/>
    <w:rsid w:val="006C76D4"/>
    <w:rsid w:val="006D23AA"/>
    <w:rsid w:val="006D4F24"/>
    <w:rsid w:val="006D604E"/>
    <w:rsid w:val="006E11C8"/>
    <w:rsid w:val="006E6331"/>
    <w:rsid w:val="006E6CA0"/>
    <w:rsid w:val="006E7538"/>
    <w:rsid w:val="006F1556"/>
    <w:rsid w:val="006F2E08"/>
    <w:rsid w:val="006F3077"/>
    <w:rsid w:val="006F307C"/>
    <w:rsid w:val="006F6BD9"/>
    <w:rsid w:val="006F6C1A"/>
    <w:rsid w:val="00700886"/>
    <w:rsid w:val="00700C58"/>
    <w:rsid w:val="00700DA8"/>
    <w:rsid w:val="00701704"/>
    <w:rsid w:val="00706053"/>
    <w:rsid w:val="00716587"/>
    <w:rsid w:val="007202D8"/>
    <w:rsid w:val="00725A4C"/>
    <w:rsid w:val="00732927"/>
    <w:rsid w:val="00741973"/>
    <w:rsid w:val="00744BFE"/>
    <w:rsid w:val="00755905"/>
    <w:rsid w:val="007649E8"/>
    <w:rsid w:val="007663ED"/>
    <w:rsid w:val="007716F8"/>
    <w:rsid w:val="0077634B"/>
    <w:rsid w:val="00781C75"/>
    <w:rsid w:val="00782250"/>
    <w:rsid w:val="00792F23"/>
    <w:rsid w:val="0079686C"/>
    <w:rsid w:val="007A4EED"/>
    <w:rsid w:val="007A6BFE"/>
    <w:rsid w:val="007B638D"/>
    <w:rsid w:val="007C0BDE"/>
    <w:rsid w:val="007C58F9"/>
    <w:rsid w:val="007C71FB"/>
    <w:rsid w:val="007D0B74"/>
    <w:rsid w:val="007D55AA"/>
    <w:rsid w:val="007D5943"/>
    <w:rsid w:val="007D74E0"/>
    <w:rsid w:val="007D7802"/>
    <w:rsid w:val="007E3C74"/>
    <w:rsid w:val="007E684A"/>
    <w:rsid w:val="007F17E9"/>
    <w:rsid w:val="007F1A7E"/>
    <w:rsid w:val="007F6497"/>
    <w:rsid w:val="00802EE8"/>
    <w:rsid w:val="00804172"/>
    <w:rsid w:val="00812323"/>
    <w:rsid w:val="00815BBB"/>
    <w:rsid w:val="008273C4"/>
    <w:rsid w:val="0083002E"/>
    <w:rsid w:val="0083643A"/>
    <w:rsid w:val="0084449B"/>
    <w:rsid w:val="00855BA4"/>
    <w:rsid w:val="008605FA"/>
    <w:rsid w:val="008651A4"/>
    <w:rsid w:val="00865478"/>
    <w:rsid w:val="0086765F"/>
    <w:rsid w:val="0086786A"/>
    <w:rsid w:val="00874E52"/>
    <w:rsid w:val="00876C1C"/>
    <w:rsid w:val="008772A6"/>
    <w:rsid w:val="0088701E"/>
    <w:rsid w:val="008921BB"/>
    <w:rsid w:val="0089240F"/>
    <w:rsid w:val="00892660"/>
    <w:rsid w:val="00896457"/>
    <w:rsid w:val="0089653F"/>
    <w:rsid w:val="00896CC7"/>
    <w:rsid w:val="008A2D78"/>
    <w:rsid w:val="008A2F92"/>
    <w:rsid w:val="008B54A7"/>
    <w:rsid w:val="008C26EF"/>
    <w:rsid w:val="008C4EEC"/>
    <w:rsid w:val="008D0633"/>
    <w:rsid w:val="008E5F1C"/>
    <w:rsid w:val="009024E5"/>
    <w:rsid w:val="00902FB5"/>
    <w:rsid w:val="009149E7"/>
    <w:rsid w:val="00916ABD"/>
    <w:rsid w:val="00917404"/>
    <w:rsid w:val="009175B9"/>
    <w:rsid w:val="00917624"/>
    <w:rsid w:val="00943995"/>
    <w:rsid w:val="00945562"/>
    <w:rsid w:val="00945F0B"/>
    <w:rsid w:val="00947682"/>
    <w:rsid w:val="00956118"/>
    <w:rsid w:val="00956BE4"/>
    <w:rsid w:val="00962609"/>
    <w:rsid w:val="00963A6E"/>
    <w:rsid w:val="009662E1"/>
    <w:rsid w:val="00972A80"/>
    <w:rsid w:val="009731F1"/>
    <w:rsid w:val="0097707F"/>
    <w:rsid w:val="009771B3"/>
    <w:rsid w:val="00985628"/>
    <w:rsid w:val="009903B6"/>
    <w:rsid w:val="00990C15"/>
    <w:rsid w:val="00991C1C"/>
    <w:rsid w:val="009A6205"/>
    <w:rsid w:val="009A66B8"/>
    <w:rsid w:val="009A6CA1"/>
    <w:rsid w:val="009B3224"/>
    <w:rsid w:val="009B5BD6"/>
    <w:rsid w:val="009C60DA"/>
    <w:rsid w:val="009D0806"/>
    <w:rsid w:val="009D4C65"/>
    <w:rsid w:val="009E23DC"/>
    <w:rsid w:val="009E245A"/>
    <w:rsid w:val="009E27C6"/>
    <w:rsid w:val="009E41CF"/>
    <w:rsid w:val="009E5829"/>
    <w:rsid w:val="009F3506"/>
    <w:rsid w:val="009F6D1E"/>
    <w:rsid w:val="00A00264"/>
    <w:rsid w:val="00A07D0B"/>
    <w:rsid w:val="00A14AFA"/>
    <w:rsid w:val="00A24BD7"/>
    <w:rsid w:val="00A322B8"/>
    <w:rsid w:val="00A36A0B"/>
    <w:rsid w:val="00A4498F"/>
    <w:rsid w:val="00A46A8E"/>
    <w:rsid w:val="00A50B5D"/>
    <w:rsid w:val="00A53E2A"/>
    <w:rsid w:val="00A55366"/>
    <w:rsid w:val="00A65BE5"/>
    <w:rsid w:val="00A66B78"/>
    <w:rsid w:val="00A74B4B"/>
    <w:rsid w:val="00A77868"/>
    <w:rsid w:val="00A803F6"/>
    <w:rsid w:val="00A874F6"/>
    <w:rsid w:val="00A878A4"/>
    <w:rsid w:val="00A917ED"/>
    <w:rsid w:val="00AA199F"/>
    <w:rsid w:val="00AB234F"/>
    <w:rsid w:val="00AC00AD"/>
    <w:rsid w:val="00AC3EDC"/>
    <w:rsid w:val="00AC5E7B"/>
    <w:rsid w:val="00AD0B58"/>
    <w:rsid w:val="00AD7B82"/>
    <w:rsid w:val="00AF177D"/>
    <w:rsid w:val="00AF4756"/>
    <w:rsid w:val="00AF49AA"/>
    <w:rsid w:val="00B0629F"/>
    <w:rsid w:val="00B10CC8"/>
    <w:rsid w:val="00B12BC3"/>
    <w:rsid w:val="00B13D25"/>
    <w:rsid w:val="00B14EE7"/>
    <w:rsid w:val="00B251C1"/>
    <w:rsid w:val="00B35EC4"/>
    <w:rsid w:val="00B371AB"/>
    <w:rsid w:val="00B412FB"/>
    <w:rsid w:val="00B4465B"/>
    <w:rsid w:val="00B53D30"/>
    <w:rsid w:val="00B64E4E"/>
    <w:rsid w:val="00B66FC0"/>
    <w:rsid w:val="00B75DE1"/>
    <w:rsid w:val="00B778F1"/>
    <w:rsid w:val="00B81115"/>
    <w:rsid w:val="00B8191F"/>
    <w:rsid w:val="00B84993"/>
    <w:rsid w:val="00B8602C"/>
    <w:rsid w:val="00B87BC1"/>
    <w:rsid w:val="00B9251D"/>
    <w:rsid w:val="00BA0AFC"/>
    <w:rsid w:val="00BA4D5A"/>
    <w:rsid w:val="00BB2A01"/>
    <w:rsid w:val="00BC03DD"/>
    <w:rsid w:val="00BC2C7F"/>
    <w:rsid w:val="00BD3FB5"/>
    <w:rsid w:val="00BD4691"/>
    <w:rsid w:val="00BE68AA"/>
    <w:rsid w:val="00BF0C7D"/>
    <w:rsid w:val="00BF6876"/>
    <w:rsid w:val="00C02B1F"/>
    <w:rsid w:val="00C12F2A"/>
    <w:rsid w:val="00C16EBB"/>
    <w:rsid w:val="00C20A2B"/>
    <w:rsid w:val="00C22918"/>
    <w:rsid w:val="00C234A3"/>
    <w:rsid w:val="00C26369"/>
    <w:rsid w:val="00C26759"/>
    <w:rsid w:val="00C4652D"/>
    <w:rsid w:val="00C474D9"/>
    <w:rsid w:val="00C524F8"/>
    <w:rsid w:val="00C61A0A"/>
    <w:rsid w:val="00C63473"/>
    <w:rsid w:val="00C74562"/>
    <w:rsid w:val="00C77926"/>
    <w:rsid w:val="00C8029D"/>
    <w:rsid w:val="00C81AA9"/>
    <w:rsid w:val="00C93162"/>
    <w:rsid w:val="00CA59E5"/>
    <w:rsid w:val="00CC2221"/>
    <w:rsid w:val="00CC22C2"/>
    <w:rsid w:val="00CC71CF"/>
    <w:rsid w:val="00CD6292"/>
    <w:rsid w:val="00CD7239"/>
    <w:rsid w:val="00CD7757"/>
    <w:rsid w:val="00CE2D0D"/>
    <w:rsid w:val="00CE31EF"/>
    <w:rsid w:val="00CE54C3"/>
    <w:rsid w:val="00CE6798"/>
    <w:rsid w:val="00CE69F2"/>
    <w:rsid w:val="00CF022A"/>
    <w:rsid w:val="00D02C6D"/>
    <w:rsid w:val="00D057B9"/>
    <w:rsid w:val="00D07372"/>
    <w:rsid w:val="00D10AE0"/>
    <w:rsid w:val="00D11A64"/>
    <w:rsid w:val="00D126F3"/>
    <w:rsid w:val="00D1501F"/>
    <w:rsid w:val="00D218B8"/>
    <w:rsid w:val="00D23694"/>
    <w:rsid w:val="00D23E9C"/>
    <w:rsid w:val="00D241DB"/>
    <w:rsid w:val="00D26C93"/>
    <w:rsid w:val="00D32DCB"/>
    <w:rsid w:val="00D35028"/>
    <w:rsid w:val="00D40E23"/>
    <w:rsid w:val="00D439C4"/>
    <w:rsid w:val="00D46570"/>
    <w:rsid w:val="00D54644"/>
    <w:rsid w:val="00D55881"/>
    <w:rsid w:val="00D55C54"/>
    <w:rsid w:val="00D572D7"/>
    <w:rsid w:val="00D60520"/>
    <w:rsid w:val="00D73435"/>
    <w:rsid w:val="00D87E58"/>
    <w:rsid w:val="00D900BC"/>
    <w:rsid w:val="00D9094F"/>
    <w:rsid w:val="00D92C2D"/>
    <w:rsid w:val="00D97CC2"/>
    <w:rsid w:val="00DA18A4"/>
    <w:rsid w:val="00DA19E9"/>
    <w:rsid w:val="00DA5D6A"/>
    <w:rsid w:val="00DD025C"/>
    <w:rsid w:val="00DE1E5C"/>
    <w:rsid w:val="00DE6250"/>
    <w:rsid w:val="00DE7EA7"/>
    <w:rsid w:val="00DF16D8"/>
    <w:rsid w:val="00DF2E2C"/>
    <w:rsid w:val="00DF2ED1"/>
    <w:rsid w:val="00DF7D4A"/>
    <w:rsid w:val="00E01AAB"/>
    <w:rsid w:val="00E020C0"/>
    <w:rsid w:val="00E066EA"/>
    <w:rsid w:val="00E10C0F"/>
    <w:rsid w:val="00E16855"/>
    <w:rsid w:val="00E3260F"/>
    <w:rsid w:val="00E36621"/>
    <w:rsid w:val="00E37A02"/>
    <w:rsid w:val="00E52F26"/>
    <w:rsid w:val="00E53AFB"/>
    <w:rsid w:val="00E60B78"/>
    <w:rsid w:val="00E64890"/>
    <w:rsid w:val="00E64C4A"/>
    <w:rsid w:val="00E70AFC"/>
    <w:rsid w:val="00E74DEB"/>
    <w:rsid w:val="00E77C36"/>
    <w:rsid w:val="00E80D4A"/>
    <w:rsid w:val="00E9204A"/>
    <w:rsid w:val="00E95367"/>
    <w:rsid w:val="00EA0905"/>
    <w:rsid w:val="00EA2C1F"/>
    <w:rsid w:val="00EC0EEE"/>
    <w:rsid w:val="00EC41B3"/>
    <w:rsid w:val="00EC615A"/>
    <w:rsid w:val="00EC704A"/>
    <w:rsid w:val="00ED5DD2"/>
    <w:rsid w:val="00ED6D54"/>
    <w:rsid w:val="00EE1067"/>
    <w:rsid w:val="00EE2CA2"/>
    <w:rsid w:val="00EE7F87"/>
    <w:rsid w:val="00EF151C"/>
    <w:rsid w:val="00EF1990"/>
    <w:rsid w:val="00F0024F"/>
    <w:rsid w:val="00F070E4"/>
    <w:rsid w:val="00F1329B"/>
    <w:rsid w:val="00F1450A"/>
    <w:rsid w:val="00F16714"/>
    <w:rsid w:val="00F176AC"/>
    <w:rsid w:val="00F17A7A"/>
    <w:rsid w:val="00F32DA4"/>
    <w:rsid w:val="00F40A10"/>
    <w:rsid w:val="00F464CB"/>
    <w:rsid w:val="00F524D3"/>
    <w:rsid w:val="00F52B7E"/>
    <w:rsid w:val="00F530E2"/>
    <w:rsid w:val="00F5364A"/>
    <w:rsid w:val="00F56119"/>
    <w:rsid w:val="00F61E5C"/>
    <w:rsid w:val="00F62C6E"/>
    <w:rsid w:val="00F63C1C"/>
    <w:rsid w:val="00F663B1"/>
    <w:rsid w:val="00F7701A"/>
    <w:rsid w:val="00F80A79"/>
    <w:rsid w:val="00F82839"/>
    <w:rsid w:val="00F85A96"/>
    <w:rsid w:val="00F869F4"/>
    <w:rsid w:val="00F87A93"/>
    <w:rsid w:val="00F964BE"/>
    <w:rsid w:val="00F96DB5"/>
    <w:rsid w:val="00F973C8"/>
    <w:rsid w:val="00FA163F"/>
    <w:rsid w:val="00FA3981"/>
    <w:rsid w:val="00FB2CDD"/>
    <w:rsid w:val="00FB3C25"/>
    <w:rsid w:val="00FB6664"/>
    <w:rsid w:val="00FC0030"/>
    <w:rsid w:val="00FC6227"/>
    <w:rsid w:val="00FE242F"/>
    <w:rsid w:val="00FE3313"/>
    <w:rsid w:val="00FE584F"/>
    <w:rsid w:val="00FE786D"/>
    <w:rsid w:val="00FF04F2"/>
    <w:rsid w:val="00FF2661"/>
    <w:rsid w:val="00FF3904"/>
    <w:rsid w:val="00FF3CB6"/>
    <w:rsid w:val="00FF430D"/>
    <w:rsid w:val="00FF7996"/>
    <w:rsid w:val="00FF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77F42"/>
  <w15:docId w15:val="{2E8E889E-431E-458A-8534-A467D751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FA"/>
    <w:rPr>
      <w:color w:val="0563C1" w:themeColor="hyperlink"/>
      <w:u w:val="single"/>
    </w:rPr>
  </w:style>
  <w:style w:type="paragraph" w:styleId="NormalWeb">
    <w:name w:val="Normal (Web)"/>
    <w:basedOn w:val="Normal"/>
    <w:uiPriority w:val="99"/>
    <w:unhideWhenUsed/>
    <w:rsid w:val="00792F2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D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905"/>
    <w:pPr>
      <w:ind w:left="720"/>
      <w:contextualSpacing/>
    </w:pPr>
  </w:style>
  <w:style w:type="paragraph" w:styleId="Header">
    <w:name w:val="header"/>
    <w:basedOn w:val="Normal"/>
    <w:link w:val="HeaderChar"/>
    <w:uiPriority w:val="99"/>
    <w:unhideWhenUsed/>
    <w:rsid w:val="00F40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10"/>
  </w:style>
  <w:style w:type="paragraph" w:styleId="Footer">
    <w:name w:val="footer"/>
    <w:basedOn w:val="Normal"/>
    <w:link w:val="FooterChar"/>
    <w:uiPriority w:val="99"/>
    <w:unhideWhenUsed/>
    <w:rsid w:val="00F40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10"/>
  </w:style>
  <w:style w:type="paragraph" w:styleId="BalloonText">
    <w:name w:val="Balloon Text"/>
    <w:basedOn w:val="Normal"/>
    <w:link w:val="BalloonTextChar"/>
    <w:uiPriority w:val="99"/>
    <w:semiHidden/>
    <w:unhideWhenUsed/>
    <w:rsid w:val="00F40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A10"/>
    <w:rPr>
      <w:rFonts w:ascii="Segoe UI" w:hAnsi="Segoe UI" w:cs="Segoe UI"/>
      <w:sz w:val="18"/>
      <w:szCs w:val="18"/>
    </w:rPr>
  </w:style>
  <w:style w:type="character" w:styleId="CommentReference">
    <w:name w:val="annotation reference"/>
    <w:basedOn w:val="DefaultParagraphFont"/>
    <w:uiPriority w:val="99"/>
    <w:semiHidden/>
    <w:unhideWhenUsed/>
    <w:rsid w:val="00F7701A"/>
    <w:rPr>
      <w:sz w:val="16"/>
      <w:szCs w:val="16"/>
    </w:rPr>
  </w:style>
  <w:style w:type="paragraph" w:styleId="CommentText">
    <w:name w:val="annotation text"/>
    <w:basedOn w:val="Normal"/>
    <w:link w:val="CommentTextChar"/>
    <w:uiPriority w:val="99"/>
    <w:semiHidden/>
    <w:unhideWhenUsed/>
    <w:rsid w:val="00F7701A"/>
    <w:pPr>
      <w:spacing w:line="240" w:lineRule="auto"/>
    </w:pPr>
    <w:rPr>
      <w:sz w:val="20"/>
      <w:szCs w:val="20"/>
    </w:rPr>
  </w:style>
  <w:style w:type="character" w:customStyle="1" w:styleId="CommentTextChar">
    <w:name w:val="Comment Text Char"/>
    <w:basedOn w:val="DefaultParagraphFont"/>
    <w:link w:val="CommentText"/>
    <w:uiPriority w:val="99"/>
    <w:semiHidden/>
    <w:rsid w:val="00F7701A"/>
    <w:rPr>
      <w:sz w:val="20"/>
      <w:szCs w:val="20"/>
    </w:rPr>
  </w:style>
  <w:style w:type="paragraph" w:styleId="CommentSubject">
    <w:name w:val="annotation subject"/>
    <w:basedOn w:val="CommentText"/>
    <w:next w:val="CommentText"/>
    <w:link w:val="CommentSubjectChar"/>
    <w:uiPriority w:val="99"/>
    <w:semiHidden/>
    <w:unhideWhenUsed/>
    <w:rsid w:val="00F7701A"/>
    <w:rPr>
      <w:b/>
      <w:bCs/>
    </w:rPr>
  </w:style>
  <w:style w:type="character" w:customStyle="1" w:styleId="CommentSubjectChar">
    <w:name w:val="Comment Subject Char"/>
    <w:basedOn w:val="CommentTextChar"/>
    <w:link w:val="CommentSubject"/>
    <w:uiPriority w:val="99"/>
    <w:semiHidden/>
    <w:rsid w:val="00F770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r.wisc.edu/academic-planning/academic-departments-and-subject-listings/" TargetMode="External"/><Relationship Id="rId13" Type="http://schemas.openxmlformats.org/officeDocument/2006/relationships/hyperlink" Target="https://www.bussvc.wisc.edu/acct/form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ir.wisc.edu/institution/academic-struct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fac.wisc.edu/governance/faculty-legislation/fpp_ch_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cfac.wiscweb.wisc.edu/governance/faculty-legislation/chapter-5-departmental-faculties/" TargetMode="External"/><Relationship Id="rId4" Type="http://schemas.openxmlformats.org/officeDocument/2006/relationships/webSettings" Target="webSettings.xml"/><Relationship Id="rId9" Type="http://schemas.openxmlformats.org/officeDocument/2006/relationships/hyperlink" Target="https://secfac.wiscweb.wisc.edu/governance/faculty-legislation/chapter-5-departmental-facul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3055</Words>
  <Characters>17420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Milner</dc:creator>
  <cp:keywords/>
  <dc:description/>
  <cp:lastModifiedBy>Jocelyn Milner</cp:lastModifiedBy>
  <cp:revision>2</cp:revision>
  <cp:lastPrinted>2017-12-28T14:31:00Z</cp:lastPrinted>
  <dcterms:created xsi:type="dcterms:W3CDTF">2018-03-15T15:27:00Z</dcterms:created>
  <dcterms:modified xsi:type="dcterms:W3CDTF">2018-03-15T15:27:00Z</dcterms:modified>
</cp:coreProperties>
</file>