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63F9" w14:textId="77777777" w:rsidR="004F02E4" w:rsidRDefault="005F527D" w:rsidP="007C643D">
      <w:pPr>
        <w:jc w:val="cente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Request to University Committee</w:t>
      </w:r>
    </w:p>
    <w:p w14:paraId="01AA12EA" w14:textId="77777777" w:rsidR="005F527D" w:rsidRDefault="005F527D" w:rsidP="007C643D">
      <w:pPr>
        <w:jc w:val="center"/>
        <w:rPr>
          <w:rFonts w:ascii="Times New Roman" w:hAnsi="Times New Roman"/>
          <w:b/>
          <w:sz w:val="24"/>
          <w:szCs w:val="24"/>
          <w:u w:val="single"/>
          <w:shd w:val="clear" w:color="auto" w:fill="FFFFFF"/>
        </w:rPr>
      </w:pPr>
    </w:p>
    <w:p w14:paraId="74A44B1C" w14:textId="49C7FAA4" w:rsidR="005F527D" w:rsidRDefault="007C643D" w:rsidP="007C643D">
      <w:pPr>
        <w:jc w:val="cente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Meeting on </w:t>
      </w:r>
      <w:r w:rsidR="005F527D">
        <w:rPr>
          <w:rFonts w:ascii="Times New Roman" w:hAnsi="Times New Roman"/>
          <w:b/>
          <w:sz w:val="24"/>
          <w:szCs w:val="24"/>
          <w:u w:val="single"/>
          <w:shd w:val="clear" w:color="auto" w:fill="FFFFFF"/>
        </w:rPr>
        <w:t>May 1, 2017</w:t>
      </w:r>
      <w:r>
        <w:rPr>
          <w:rFonts w:ascii="Times New Roman" w:hAnsi="Times New Roman"/>
          <w:b/>
          <w:sz w:val="24"/>
          <w:szCs w:val="24"/>
          <w:u w:val="single"/>
          <w:shd w:val="clear" w:color="auto" w:fill="FFFFFF"/>
        </w:rPr>
        <w:t xml:space="preserve"> 1:10pm Bascom Hall</w:t>
      </w:r>
    </w:p>
    <w:p w14:paraId="5DE2628A" w14:textId="77777777" w:rsidR="005F527D" w:rsidRDefault="005F527D" w:rsidP="00964C7B">
      <w:pPr>
        <w:rPr>
          <w:rFonts w:ascii="Times New Roman" w:hAnsi="Times New Roman"/>
          <w:b/>
          <w:sz w:val="24"/>
          <w:szCs w:val="24"/>
          <w:u w:val="single"/>
          <w:shd w:val="clear" w:color="auto" w:fill="FFFFFF"/>
        </w:rPr>
      </w:pPr>
    </w:p>
    <w:p w14:paraId="50EB26C4" w14:textId="77777777" w:rsidR="005F527D" w:rsidRDefault="005F527D" w:rsidP="00964C7B">
      <w:pPr>
        <w:rPr>
          <w:rFonts w:ascii="Times New Roman" w:hAnsi="Times New Roman"/>
          <w:sz w:val="24"/>
          <w:szCs w:val="24"/>
          <w:shd w:val="clear" w:color="auto" w:fill="FFFFFF"/>
        </w:rPr>
      </w:pPr>
      <w:r w:rsidRPr="007C643D">
        <w:rPr>
          <w:rFonts w:ascii="Times New Roman" w:hAnsi="Times New Roman"/>
          <w:b/>
          <w:sz w:val="24"/>
          <w:szCs w:val="24"/>
          <w:shd w:val="clear" w:color="auto" w:fill="FFFFFF"/>
        </w:rPr>
        <w:t>Context:</w:t>
      </w:r>
      <w:r>
        <w:rPr>
          <w:rFonts w:ascii="Times New Roman" w:hAnsi="Times New Roman"/>
          <w:sz w:val="24"/>
          <w:szCs w:val="24"/>
          <w:shd w:val="clear" w:color="auto" w:fill="FFFFFF"/>
        </w:rPr>
        <w:t xml:space="preserve">  The campus has embarked on a long-term plan to help reposition summer to help students reduce their time to degree, reduce student debt, and provide unique learning experiences.  As part of the process, the Summer Term Steering Committee was formed in the summer of 2016 to assist in evaluating the new pilot budget model and creating new planning tools for schools and colleges.  The committee made the following recommendations in Figure 4: </w:t>
      </w:r>
    </w:p>
    <w:p w14:paraId="683B16DA" w14:textId="77777777" w:rsidR="005F527D" w:rsidRDefault="005F527D" w:rsidP="00964C7B">
      <w:pPr>
        <w:rPr>
          <w:rFonts w:ascii="Times New Roman" w:hAnsi="Times New Roman"/>
          <w:sz w:val="24"/>
          <w:szCs w:val="24"/>
          <w:shd w:val="clear" w:color="auto" w:fill="FFFFFF"/>
        </w:rPr>
      </w:pPr>
    </w:p>
    <w:p w14:paraId="0D55CBBF" w14:textId="77777777" w:rsidR="00526805" w:rsidRDefault="00526805" w:rsidP="00964C7B">
      <w:pPr>
        <w:rPr>
          <w:rFonts w:ascii="Times New Roman" w:hAnsi="Times New Roman"/>
          <w:sz w:val="24"/>
          <w:szCs w:val="24"/>
          <w:shd w:val="clear" w:color="auto" w:fill="FFFFFF"/>
        </w:rPr>
      </w:pPr>
    </w:p>
    <w:tbl>
      <w:tblPr>
        <w:tblStyle w:val="LightList-Accent11"/>
        <w:tblW w:w="0" w:type="auto"/>
        <w:tblInd w:w="-5" w:type="dxa"/>
        <w:tblLook w:val="04A0" w:firstRow="1" w:lastRow="0" w:firstColumn="1" w:lastColumn="0" w:noHBand="0" w:noVBand="1"/>
      </w:tblPr>
      <w:tblGrid>
        <w:gridCol w:w="1858"/>
        <w:gridCol w:w="7487"/>
      </w:tblGrid>
      <w:tr w:rsidR="00526805" w:rsidRPr="00526805" w14:paraId="67A6F880" w14:textId="77777777" w:rsidTr="00693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72E5742E" w14:textId="77777777" w:rsidR="00526805" w:rsidRPr="00526805" w:rsidRDefault="00526805" w:rsidP="00526805">
            <w:pPr>
              <w:spacing w:after="200" w:line="276" w:lineRule="auto"/>
              <w:jc w:val="center"/>
              <w:rPr>
                <w:rFonts w:asciiTheme="minorHAnsi" w:hAnsiTheme="minorHAnsi" w:cstheme="minorBidi"/>
              </w:rPr>
            </w:pPr>
            <w:r w:rsidRPr="00526805">
              <w:rPr>
                <w:rFonts w:asciiTheme="minorHAnsi" w:hAnsiTheme="minorHAnsi" w:cstheme="minorBidi"/>
                <w:sz w:val="24"/>
              </w:rPr>
              <w:t>Figure 4: RECOMMENDATIONS</w:t>
            </w:r>
          </w:p>
        </w:tc>
      </w:tr>
      <w:tr w:rsidR="00526805" w:rsidRPr="00526805" w14:paraId="70B3AC9F" w14:textId="77777777" w:rsidTr="00693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B984701" w14:textId="77777777" w:rsidR="00526805" w:rsidRPr="00526805" w:rsidRDefault="00526805" w:rsidP="00526805">
            <w:pPr>
              <w:spacing w:after="200" w:line="276" w:lineRule="auto"/>
              <w:jc w:val="both"/>
              <w:rPr>
                <w:rFonts w:asciiTheme="minorHAnsi" w:hAnsiTheme="minorHAnsi" w:cstheme="minorBidi"/>
                <w:caps/>
              </w:rPr>
            </w:pPr>
            <w:r w:rsidRPr="00526805">
              <w:rPr>
                <w:rFonts w:asciiTheme="minorHAnsi" w:hAnsiTheme="minorHAnsi" w:cstheme="minorBidi"/>
                <w:caps/>
              </w:rPr>
              <w:t>TOOLS</w:t>
            </w:r>
          </w:p>
        </w:tc>
        <w:tc>
          <w:tcPr>
            <w:tcW w:w="7776" w:type="dxa"/>
          </w:tcPr>
          <w:p w14:paraId="6BE8B88B" w14:textId="77777777" w:rsidR="00526805" w:rsidRPr="00526805" w:rsidRDefault="00526805" w:rsidP="0052680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 xml:space="preserve">Several tools were identified that should be developed or enhanced to support Summer Term.  Those include: </w:t>
            </w:r>
          </w:p>
          <w:p w14:paraId="59FC9BC3"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A new, robust, and modern ad-hoc database query tool is necessary to create the summer revenue reports</w:t>
            </w:r>
          </w:p>
          <w:p w14:paraId="4AF07E00"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Best practice for course promotion (e.g., AdvisorLink)</w:t>
            </w:r>
          </w:p>
          <w:p w14:paraId="071EB100"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Accelerated learning and online learning support for students and instructors, and short-term staff</w:t>
            </w:r>
          </w:p>
          <w:p w14:paraId="3F790F29"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Human resource guide for schools, colleges, departments</w:t>
            </w:r>
          </w:p>
          <w:p w14:paraId="224780A5"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Equitable access to instructional design support</w:t>
            </w:r>
          </w:p>
          <w:p w14:paraId="2C1F113C"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Reduction in the number of summer sessions</w:t>
            </w:r>
          </w:p>
          <w:p w14:paraId="3EE4F5BA" w14:textId="77777777" w:rsidR="00526805" w:rsidRPr="00526805" w:rsidRDefault="00526805" w:rsidP="00526805">
            <w:pPr>
              <w:numPr>
                <w:ilvl w:val="0"/>
                <w:numId w:val="1"/>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highlight w:val="yellow"/>
              </w:rPr>
              <w:t>Revised faculty overload policy and scientist dual role waiver to teach in summer</w:t>
            </w:r>
          </w:p>
        </w:tc>
      </w:tr>
      <w:tr w:rsidR="00526805" w:rsidRPr="00526805" w14:paraId="323D1AFB" w14:textId="77777777" w:rsidTr="00693600">
        <w:tc>
          <w:tcPr>
            <w:cnfStyle w:val="001000000000" w:firstRow="0" w:lastRow="0" w:firstColumn="1" w:lastColumn="0" w:oddVBand="0" w:evenVBand="0" w:oddHBand="0" w:evenHBand="0" w:firstRowFirstColumn="0" w:firstRowLastColumn="0" w:lastRowFirstColumn="0" w:lastRowLastColumn="0"/>
            <w:tcW w:w="1569" w:type="dxa"/>
          </w:tcPr>
          <w:p w14:paraId="37F2379D" w14:textId="77777777" w:rsidR="00526805" w:rsidRPr="00526805" w:rsidRDefault="00526805" w:rsidP="00526805">
            <w:pPr>
              <w:spacing w:after="200" w:line="276" w:lineRule="auto"/>
              <w:jc w:val="both"/>
              <w:rPr>
                <w:rFonts w:asciiTheme="minorHAnsi" w:hAnsiTheme="minorHAnsi" w:cstheme="minorBidi"/>
                <w:caps/>
              </w:rPr>
            </w:pPr>
            <w:bookmarkStart w:id="0" w:name="_Toc466544631"/>
            <w:bookmarkStart w:id="1" w:name="_Toc467593799"/>
            <w:r w:rsidRPr="00526805">
              <w:rPr>
                <w:rFonts w:asciiTheme="minorHAnsi" w:eastAsiaTheme="majorEastAsia" w:hAnsiTheme="minorHAnsi" w:cstheme="majorBidi"/>
                <w:caps/>
              </w:rPr>
              <w:t>New Opportunities</w:t>
            </w:r>
            <w:bookmarkEnd w:id="0"/>
            <w:bookmarkEnd w:id="1"/>
            <w:r w:rsidRPr="00526805">
              <w:rPr>
                <w:rFonts w:asciiTheme="minorHAnsi" w:hAnsiTheme="minorHAnsi" w:cstheme="minorBidi"/>
                <w:caps/>
              </w:rPr>
              <w:br/>
            </w:r>
          </w:p>
        </w:tc>
        <w:tc>
          <w:tcPr>
            <w:tcW w:w="7776" w:type="dxa"/>
          </w:tcPr>
          <w:p w14:paraId="624C5295" w14:textId="77777777" w:rsidR="00526805" w:rsidRPr="00526805" w:rsidRDefault="00526805" w:rsidP="0052680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 xml:space="preserve">The following were identified as new opportunities to enhance the summer experience for students: </w:t>
            </w:r>
          </w:p>
          <w:p w14:paraId="25090216" w14:textId="77777777" w:rsidR="00526805" w:rsidRPr="00526805" w:rsidRDefault="00526805" w:rsidP="00526805">
            <w:pPr>
              <w:numPr>
                <w:ilvl w:val="0"/>
                <w:numId w:val="2"/>
              </w:numPr>
              <w:spacing w:after="200" w:line="276" w:lineRule="auto"/>
              <w:ind w:left="73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Grow the summer scholarship fund by 50%</w:t>
            </w:r>
          </w:p>
          <w:p w14:paraId="65A1C54E" w14:textId="77777777" w:rsidR="00526805" w:rsidRPr="00526805" w:rsidRDefault="00526805" w:rsidP="00526805">
            <w:pPr>
              <w:numPr>
                <w:ilvl w:val="0"/>
                <w:numId w:val="2"/>
              </w:numPr>
              <w:spacing w:after="200" w:line="276" w:lineRule="auto"/>
              <w:ind w:left="73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Explore Academic opportunities for student employees on-campus in the summer</w:t>
            </w:r>
          </w:p>
          <w:p w14:paraId="0A1B2DD6" w14:textId="77777777" w:rsidR="00526805" w:rsidRPr="00526805" w:rsidRDefault="00526805" w:rsidP="00526805">
            <w:pPr>
              <w:numPr>
                <w:ilvl w:val="0"/>
                <w:numId w:val="2"/>
              </w:numPr>
              <w:spacing w:after="200" w:line="276" w:lineRule="auto"/>
              <w:ind w:left="73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Use the early 4-week session in summer 2018</w:t>
            </w:r>
            <w:r w:rsidRPr="00526805">
              <w:rPr>
                <w:rFonts w:asciiTheme="minorHAnsi" w:hAnsiTheme="minorHAnsi" w:cstheme="minorBidi"/>
                <w:sz w:val="32"/>
              </w:rPr>
              <w:t xml:space="preserve"> </w:t>
            </w:r>
            <w:r w:rsidRPr="00526805">
              <w:rPr>
                <w:rFonts w:asciiTheme="minorHAnsi" w:hAnsiTheme="minorHAnsi" w:cstheme="minorBidi"/>
                <w:sz w:val="16"/>
              </w:rPr>
              <w:t>[May 21-June 15, 2018]</w:t>
            </w:r>
          </w:p>
          <w:p w14:paraId="4FBA1ED1" w14:textId="77777777" w:rsidR="00526805" w:rsidRPr="00526805" w:rsidRDefault="00526805" w:rsidP="00526805">
            <w:pPr>
              <w:numPr>
                <w:ilvl w:val="0"/>
                <w:numId w:val="2"/>
              </w:numPr>
              <w:spacing w:after="200" w:line="276" w:lineRule="auto"/>
              <w:ind w:left="73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Utilize campus space for high-impact learning experiences</w:t>
            </w:r>
          </w:p>
        </w:tc>
      </w:tr>
      <w:tr w:rsidR="00526805" w:rsidRPr="00526805" w14:paraId="1988EE1F" w14:textId="77777777" w:rsidTr="00693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6D40EDF7" w14:textId="77777777" w:rsidR="00526805" w:rsidRPr="00526805" w:rsidRDefault="00526805" w:rsidP="00526805">
            <w:pPr>
              <w:spacing w:after="200" w:line="276" w:lineRule="auto"/>
              <w:jc w:val="both"/>
              <w:rPr>
                <w:rFonts w:asciiTheme="minorHAnsi" w:hAnsiTheme="minorHAnsi" w:cstheme="minorBidi"/>
                <w:caps/>
              </w:rPr>
            </w:pPr>
            <w:bookmarkStart w:id="2" w:name="_Toc466544632"/>
            <w:bookmarkStart w:id="3" w:name="_Toc467593800"/>
            <w:r w:rsidRPr="00526805">
              <w:rPr>
                <w:rFonts w:asciiTheme="minorHAnsi" w:eastAsiaTheme="majorEastAsia" w:hAnsiTheme="minorHAnsi" w:cstheme="majorBidi"/>
                <w:caps/>
              </w:rPr>
              <w:t>Capacity Considerations</w:t>
            </w:r>
            <w:bookmarkEnd w:id="2"/>
            <w:bookmarkEnd w:id="3"/>
            <w:r w:rsidRPr="00526805">
              <w:rPr>
                <w:rFonts w:asciiTheme="minorHAnsi" w:hAnsiTheme="minorHAnsi" w:cstheme="minorBidi"/>
                <w:caps/>
              </w:rPr>
              <w:br/>
            </w:r>
          </w:p>
        </w:tc>
        <w:tc>
          <w:tcPr>
            <w:tcW w:w="7776" w:type="dxa"/>
          </w:tcPr>
          <w:p w14:paraId="6EF61450" w14:textId="77777777" w:rsidR="00526805" w:rsidRPr="00526805" w:rsidRDefault="00526805" w:rsidP="0052680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As summer enrollment increases, the capacity of campus units and various functional areas that support students need attention.  Examples include:</w:t>
            </w:r>
          </w:p>
          <w:p w14:paraId="71763D5E" w14:textId="77777777" w:rsidR="00526805" w:rsidRPr="00526805" w:rsidRDefault="00526805" w:rsidP="00526805">
            <w:pPr>
              <w:numPr>
                <w:ilvl w:val="0"/>
                <w:numId w:val="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Advising capacity</w:t>
            </w:r>
          </w:p>
          <w:p w14:paraId="601D262C" w14:textId="77777777" w:rsidR="00526805" w:rsidRPr="00526805" w:rsidRDefault="00526805" w:rsidP="00526805">
            <w:pPr>
              <w:numPr>
                <w:ilvl w:val="0"/>
                <w:numId w:val="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Tutoring capacity</w:t>
            </w:r>
          </w:p>
          <w:p w14:paraId="594E5CE5" w14:textId="77777777" w:rsidR="00526805" w:rsidRPr="00526805" w:rsidRDefault="00526805" w:rsidP="00526805">
            <w:pPr>
              <w:numPr>
                <w:ilvl w:val="0"/>
                <w:numId w:val="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University Health Services staffing</w:t>
            </w:r>
          </w:p>
          <w:p w14:paraId="2E4EA126" w14:textId="77777777" w:rsidR="00526805" w:rsidRPr="00526805" w:rsidRDefault="00526805" w:rsidP="00526805">
            <w:pPr>
              <w:numPr>
                <w:ilvl w:val="0"/>
                <w:numId w:val="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Academic Deans office capacity in schools, colleges, divisions</w:t>
            </w:r>
          </w:p>
        </w:tc>
      </w:tr>
      <w:tr w:rsidR="00526805" w:rsidRPr="00526805" w14:paraId="2FABAF2A" w14:textId="77777777" w:rsidTr="00693600">
        <w:tc>
          <w:tcPr>
            <w:cnfStyle w:val="001000000000" w:firstRow="0" w:lastRow="0" w:firstColumn="1" w:lastColumn="0" w:oddVBand="0" w:evenVBand="0" w:oddHBand="0" w:evenHBand="0" w:firstRowFirstColumn="0" w:firstRowLastColumn="0" w:lastRowFirstColumn="0" w:lastRowLastColumn="0"/>
            <w:tcW w:w="1569" w:type="dxa"/>
          </w:tcPr>
          <w:p w14:paraId="3523E165" w14:textId="77777777" w:rsidR="00526805" w:rsidRPr="00526805" w:rsidRDefault="00526805" w:rsidP="00526805">
            <w:pPr>
              <w:keepNext/>
              <w:keepLines/>
              <w:spacing w:before="40" w:line="276" w:lineRule="auto"/>
              <w:outlineLvl w:val="1"/>
              <w:rPr>
                <w:rFonts w:asciiTheme="minorHAnsi" w:eastAsiaTheme="majorEastAsia" w:hAnsiTheme="minorHAnsi" w:cstheme="majorBidi"/>
                <w:caps/>
              </w:rPr>
            </w:pPr>
            <w:bookmarkStart w:id="4" w:name="_Toc466544633"/>
            <w:bookmarkStart w:id="5" w:name="_Toc467593801"/>
            <w:r w:rsidRPr="00526805">
              <w:rPr>
                <w:rFonts w:asciiTheme="minorHAnsi" w:eastAsiaTheme="majorEastAsia" w:hAnsiTheme="minorHAnsi" w:cstheme="majorBidi"/>
                <w:caps/>
              </w:rPr>
              <w:lastRenderedPageBreak/>
              <w:t>Budget model adjustments</w:t>
            </w:r>
            <w:bookmarkEnd w:id="4"/>
            <w:bookmarkEnd w:id="5"/>
          </w:p>
          <w:p w14:paraId="3C8ABA21" w14:textId="77777777" w:rsidR="00526805" w:rsidRPr="00526805" w:rsidRDefault="00526805" w:rsidP="00526805">
            <w:pPr>
              <w:spacing w:after="200" w:line="276" w:lineRule="auto"/>
              <w:jc w:val="both"/>
              <w:rPr>
                <w:rFonts w:asciiTheme="minorHAnsi" w:eastAsiaTheme="majorEastAsia" w:hAnsiTheme="minorHAnsi" w:cstheme="majorBidi"/>
              </w:rPr>
            </w:pPr>
          </w:p>
        </w:tc>
        <w:tc>
          <w:tcPr>
            <w:tcW w:w="7776" w:type="dxa"/>
          </w:tcPr>
          <w:p w14:paraId="3113670B" w14:textId="77777777" w:rsidR="00526805" w:rsidRPr="00526805" w:rsidRDefault="00526805" w:rsidP="0052680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 xml:space="preserve">The summer 2017 budget process is underway.  The work group established the summer 2017 baseline which increased from $12.6 million to $13.3 million.  The summer baseline is the amount of summer revenue retained by central campus to support the academic year.  The baseline is adjusted annually to reflect increases in tuition.  In summer 2017 there will be an increase in nonresident undergraduate tuition.  </w:t>
            </w:r>
          </w:p>
          <w:p w14:paraId="5064EFC8" w14:textId="77777777" w:rsidR="00526805" w:rsidRPr="00526805" w:rsidRDefault="00526805" w:rsidP="0052680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 xml:space="preserve">For 2018, the committee recommends:  </w:t>
            </w:r>
          </w:p>
          <w:p w14:paraId="4B4F9CE1" w14:textId="77777777" w:rsidR="00526805" w:rsidRPr="00526805" w:rsidRDefault="00526805" w:rsidP="00526805">
            <w:pPr>
              <w:numPr>
                <w:ilvl w:val="0"/>
                <w:numId w:val="5"/>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The calculation of individual school/college academic year budget payments should shift modestly to reflect a resource allocation that is based more on instructional activity, not historic precedent.  The committee recommends shifting from a 50/50 ratio to a 60/40 ratio where the college’s individual baseline as a portion of the sum of all summer baselines will account for 60% of the rate.  This should be reviewed again for 2019.</w:t>
            </w:r>
          </w:p>
          <w:p w14:paraId="484239AE" w14:textId="77777777" w:rsidR="00526805" w:rsidRPr="00526805" w:rsidRDefault="00526805" w:rsidP="00526805">
            <w:pPr>
              <w:numPr>
                <w:ilvl w:val="0"/>
                <w:numId w:val="4"/>
              </w:numPr>
              <w:spacing w:after="200" w:line="276" w:lineRule="auto"/>
              <w:ind w:left="73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26805">
              <w:rPr>
                <w:rFonts w:asciiTheme="minorHAnsi" w:hAnsiTheme="minorHAnsi" w:cstheme="minorBidi"/>
              </w:rPr>
              <w:t xml:space="preserve">The loss adjustment practice should remain unchanged.  This is the practice of providing a school or college a subsidy should its summer revenue fall below its target baseline.  There were two schools below baseline for summer 2016.  The group concluded the subsidies were appropriate and this practice should continue.  </w:t>
            </w:r>
          </w:p>
        </w:tc>
      </w:tr>
    </w:tbl>
    <w:p w14:paraId="5EB7E70B" w14:textId="77777777" w:rsidR="00526805" w:rsidRDefault="00526805" w:rsidP="00964C7B">
      <w:pPr>
        <w:rPr>
          <w:rFonts w:ascii="Times New Roman" w:hAnsi="Times New Roman"/>
          <w:sz w:val="24"/>
          <w:szCs w:val="24"/>
          <w:shd w:val="clear" w:color="auto" w:fill="FFFFFF"/>
        </w:rPr>
      </w:pPr>
    </w:p>
    <w:p w14:paraId="1C9E7A71" w14:textId="28D013A3" w:rsidR="005F527D" w:rsidRDefault="005F527D" w:rsidP="00964C7B">
      <w:pPr>
        <w:rPr>
          <w:rFonts w:ascii="Times New Roman" w:hAnsi="Times New Roman"/>
          <w:sz w:val="24"/>
          <w:szCs w:val="24"/>
          <w:shd w:val="clear" w:color="auto" w:fill="FFFFFF"/>
        </w:rPr>
      </w:pPr>
    </w:p>
    <w:p w14:paraId="06CC119A" w14:textId="1DA6F559" w:rsidR="003E76D4" w:rsidRDefault="005F527D" w:rsidP="00964C7B">
      <w:pPr>
        <w:rPr>
          <w:rFonts w:ascii="Times New Roman" w:hAnsi="Times New Roman"/>
          <w:sz w:val="24"/>
          <w:szCs w:val="24"/>
          <w:shd w:val="clear" w:color="auto" w:fill="FFFFFF"/>
        </w:rPr>
      </w:pPr>
      <w:r w:rsidRPr="007C643D">
        <w:rPr>
          <w:rFonts w:ascii="Times New Roman" w:hAnsi="Times New Roman"/>
          <w:b/>
          <w:sz w:val="24"/>
          <w:szCs w:val="24"/>
          <w:shd w:val="clear" w:color="auto" w:fill="FFFFFF"/>
        </w:rPr>
        <w:t>Request:</w:t>
      </w:r>
      <w:r w:rsidR="00526805">
        <w:rPr>
          <w:rFonts w:ascii="Times New Roman" w:hAnsi="Times New Roman"/>
          <w:sz w:val="24"/>
          <w:szCs w:val="24"/>
          <w:shd w:val="clear" w:color="auto" w:fill="FFFFFF"/>
        </w:rPr>
        <w:t xml:space="preserve">  Under the “T</w:t>
      </w:r>
      <w:r>
        <w:rPr>
          <w:rFonts w:ascii="Times New Roman" w:hAnsi="Times New Roman"/>
          <w:sz w:val="24"/>
          <w:szCs w:val="24"/>
          <w:shd w:val="clear" w:color="auto" w:fill="FFFFFF"/>
        </w:rPr>
        <w:t>ool</w:t>
      </w:r>
      <w:r w:rsidR="00F555B3">
        <w:rPr>
          <w:rFonts w:ascii="Times New Roman" w:hAnsi="Times New Roman"/>
          <w:sz w:val="24"/>
          <w:szCs w:val="24"/>
          <w:shd w:val="clear" w:color="auto" w:fill="FFFFFF"/>
        </w:rPr>
        <w:t>s</w:t>
      </w:r>
      <w:r w:rsidR="00526805">
        <w:rPr>
          <w:rFonts w:ascii="Times New Roman" w:hAnsi="Times New Roman"/>
          <w:sz w:val="24"/>
          <w:szCs w:val="24"/>
          <w:shd w:val="clear" w:color="auto" w:fill="FFFFFF"/>
        </w:rPr>
        <w:t>”</w:t>
      </w:r>
      <w:r w:rsidR="00F555B3">
        <w:rPr>
          <w:rFonts w:ascii="Times New Roman" w:hAnsi="Times New Roman"/>
          <w:sz w:val="24"/>
          <w:szCs w:val="24"/>
          <w:shd w:val="clear" w:color="auto" w:fill="FFFFFF"/>
        </w:rPr>
        <w:t xml:space="preserve"> recommendations</w:t>
      </w:r>
      <w:r>
        <w:rPr>
          <w:rFonts w:ascii="Times New Roman" w:hAnsi="Times New Roman"/>
          <w:sz w:val="24"/>
          <w:szCs w:val="24"/>
          <w:shd w:val="clear" w:color="auto" w:fill="FFFFFF"/>
        </w:rPr>
        <w:t xml:space="preserve">, focused on human resources, there is continued interest in being able to offer a blanket waiver for scientist a waiver to teach in the summer term.  The rational to the request includes the following: 1. </w:t>
      </w:r>
      <w:r w:rsidR="00557A3D">
        <w:rPr>
          <w:rFonts w:ascii="Times New Roman" w:hAnsi="Times New Roman"/>
          <w:sz w:val="24"/>
          <w:szCs w:val="24"/>
          <w:shd w:val="clear" w:color="auto" w:fill="FFFFFF"/>
        </w:rPr>
        <w:t xml:space="preserve">Offers more flexibility to schools and colleges in hiring instructors in the summer, 2. </w:t>
      </w:r>
      <w:r w:rsidR="003E76D4">
        <w:rPr>
          <w:rFonts w:ascii="Times New Roman" w:hAnsi="Times New Roman"/>
          <w:sz w:val="24"/>
          <w:szCs w:val="24"/>
          <w:shd w:val="clear" w:color="auto" w:fill="FFFFFF"/>
        </w:rPr>
        <w:t>There</w:t>
      </w:r>
      <w:r w:rsidR="00D475CE">
        <w:rPr>
          <w:rFonts w:ascii="Times New Roman" w:hAnsi="Times New Roman"/>
          <w:sz w:val="24"/>
          <w:szCs w:val="24"/>
          <w:shd w:val="clear" w:color="auto" w:fill="FFFFFF"/>
        </w:rPr>
        <w:t xml:space="preserve"> are estimated to be over</w:t>
      </w:r>
      <w:r>
        <w:rPr>
          <w:rFonts w:ascii="Times New Roman" w:hAnsi="Times New Roman"/>
          <w:sz w:val="24"/>
          <w:szCs w:val="24"/>
          <w:shd w:val="clear" w:color="auto" w:fill="FFFFFF"/>
        </w:rPr>
        <w:t xml:space="preserve"> </w:t>
      </w:r>
      <w:r w:rsidR="00D475CE">
        <w:rPr>
          <w:rFonts w:ascii="Times New Roman" w:hAnsi="Times New Roman"/>
          <w:sz w:val="24"/>
          <w:szCs w:val="24"/>
          <w:shd w:val="clear" w:color="auto" w:fill="FFFFFF"/>
        </w:rPr>
        <w:t xml:space="preserve">650 </w:t>
      </w:r>
      <w:r>
        <w:rPr>
          <w:rFonts w:ascii="Times New Roman" w:hAnsi="Times New Roman"/>
          <w:sz w:val="24"/>
          <w:szCs w:val="24"/>
          <w:shd w:val="clear" w:color="auto" w:fill="FFFFFF"/>
        </w:rPr>
        <w:t xml:space="preserve">research scientist </w:t>
      </w:r>
      <w:r w:rsidR="00D475CE">
        <w:rPr>
          <w:rFonts w:ascii="Times New Roman" w:hAnsi="Times New Roman"/>
          <w:sz w:val="24"/>
          <w:szCs w:val="24"/>
          <w:shd w:val="clear" w:color="auto" w:fill="FFFFFF"/>
        </w:rPr>
        <w:t xml:space="preserve">and over 500 in the researcher title series with </w:t>
      </w:r>
      <w:r>
        <w:rPr>
          <w:rFonts w:ascii="Times New Roman" w:hAnsi="Times New Roman"/>
          <w:sz w:val="24"/>
          <w:szCs w:val="24"/>
          <w:shd w:val="clear" w:color="auto" w:fill="FFFFFF"/>
        </w:rPr>
        <w:t>unique research and teaching capacity and this will allow</w:t>
      </w:r>
      <w:r w:rsidR="003E76D4">
        <w:rPr>
          <w:rFonts w:ascii="Times New Roman" w:hAnsi="Times New Roman"/>
          <w:sz w:val="24"/>
          <w:szCs w:val="24"/>
          <w:shd w:val="clear" w:color="auto" w:fill="FFFFFF"/>
        </w:rPr>
        <w:t xml:space="preserve"> our students access to this expertise</w:t>
      </w:r>
      <w:r w:rsidR="00557A3D">
        <w:rPr>
          <w:rFonts w:ascii="Times New Roman" w:hAnsi="Times New Roman"/>
          <w:sz w:val="24"/>
          <w:szCs w:val="24"/>
          <w:shd w:val="clear" w:color="auto" w:fill="FFFFFF"/>
        </w:rPr>
        <w:t>,</w:t>
      </w:r>
      <w:r w:rsidR="00F555B3">
        <w:rPr>
          <w:rFonts w:ascii="Times New Roman" w:hAnsi="Times New Roman"/>
          <w:sz w:val="24"/>
          <w:szCs w:val="24"/>
          <w:shd w:val="clear" w:color="auto" w:fill="FFFFFF"/>
        </w:rPr>
        <w:t xml:space="preserve"> and</w:t>
      </w:r>
      <w:r w:rsidR="00557A3D">
        <w:rPr>
          <w:rFonts w:ascii="Times New Roman" w:hAnsi="Times New Roman"/>
          <w:sz w:val="24"/>
          <w:szCs w:val="24"/>
          <w:shd w:val="clear" w:color="auto" w:fill="FFFFFF"/>
        </w:rPr>
        <w:t xml:space="preserve"> 3</w:t>
      </w:r>
      <w:r w:rsidR="003E76D4">
        <w:rPr>
          <w:rFonts w:ascii="Times New Roman" w:hAnsi="Times New Roman"/>
          <w:sz w:val="24"/>
          <w:szCs w:val="24"/>
          <w:shd w:val="clear" w:color="auto" w:fill="FFFFFF"/>
        </w:rPr>
        <w:t xml:space="preserve">. </w:t>
      </w:r>
      <w:r w:rsidR="00043250">
        <w:rPr>
          <w:rFonts w:ascii="Times New Roman" w:hAnsi="Times New Roman"/>
          <w:sz w:val="24"/>
          <w:szCs w:val="24"/>
          <w:shd w:val="clear" w:color="auto" w:fill="FFFFFF"/>
        </w:rPr>
        <w:t>An exception to our policy for</w:t>
      </w:r>
      <w:r w:rsidR="003E76D4">
        <w:rPr>
          <w:rFonts w:ascii="Times New Roman" w:hAnsi="Times New Roman"/>
          <w:sz w:val="24"/>
          <w:szCs w:val="24"/>
          <w:shd w:val="clear" w:color="auto" w:fill="FFFFFF"/>
        </w:rPr>
        <w:t xml:space="preserve"> the summer will streamline the communication and management aspects of </w:t>
      </w:r>
      <w:r w:rsidR="00ED6C4A">
        <w:rPr>
          <w:rFonts w:ascii="Times New Roman" w:hAnsi="Times New Roman"/>
          <w:sz w:val="24"/>
          <w:szCs w:val="24"/>
          <w:shd w:val="clear" w:color="auto" w:fill="FFFFFF"/>
        </w:rPr>
        <w:t xml:space="preserve">making </w:t>
      </w:r>
      <w:r w:rsidR="003E76D4">
        <w:rPr>
          <w:rFonts w:ascii="Times New Roman" w:hAnsi="Times New Roman"/>
          <w:sz w:val="24"/>
          <w:szCs w:val="24"/>
          <w:shd w:val="clear" w:color="auto" w:fill="FFFFFF"/>
        </w:rPr>
        <w:t>such appointment</w:t>
      </w:r>
      <w:r w:rsidR="00043250">
        <w:rPr>
          <w:rFonts w:ascii="Times New Roman" w:hAnsi="Times New Roman"/>
          <w:sz w:val="24"/>
          <w:szCs w:val="24"/>
          <w:shd w:val="clear" w:color="auto" w:fill="FFFFFF"/>
        </w:rPr>
        <w:t>s.</w:t>
      </w:r>
      <w:r w:rsidR="00ED6C4A">
        <w:rPr>
          <w:rFonts w:ascii="Times New Roman" w:hAnsi="Times New Roman"/>
          <w:sz w:val="24"/>
          <w:szCs w:val="24"/>
          <w:shd w:val="clear" w:color="auto" w:fill="FFFFFF"/>
        </w:rPr>
        <w:t xml:space="preserve"> W</w:t>
      </w:r>
      <w:r w:rsidR="003E76D4">
        <w:rPr>
          <w:rFonts w:ascii="Times New Roman" w:hAnsi="Times New Roman"/>
          <w:sz w:val="24"/>
          <w:szCs w:val="24"/>
          <w:shd w:val="clear" w:color="auto" w:fill="FFFFFF"/>
        </w:rPr>
        <w:t xml:space="preserve">e believe </w:t>
      </w:r>
      <w:r w:rsidR="00ED6C4A">
        <w:rPr>
          <w:rFonts w:ascii="Times New Roman" w:hAnsi="Times New Roman"/>
          <w:sz w:val="24"/>
          <w:szCs w:val="24"/>
          <w:shd w:val="clear" w:color="auto" w:fill="FFFFFF"/>
        </w:rPr>
        <w:t xml:space="preserve">the results </w:t>
      </w:r>
      <w:r w:rsidR="00526805">
        <w:rPr>
          <w:rFonts w:ascii="Times New Roman" w:hAnsi="Times New Roman"/>
          <w:sz w:val="24"/>
          <w:szCs w:val="24"/>
          <w:shd w:val="clear" w:color="auto" w:fill="FFFFFF"/>
        </w:rPr>
        <w:t>of</w:t>
      </w:r>
      <w:r w:rsidR="00ED6C4A">
        <w:rPr>
          <w:rFonts w:ascii="Times New Roman" w:hAnsi="Times New Roman"/>
          <w:sz w:val="24"/>
          <w:szCs w:val="24"/>
          <w:shd w:val="clear" w:color="auto" w:fill="FFFFFF"/>
        </w:rPr>
        <w:t xml:space="preserve"> a change in the policy will </w:t>
      </w:r>
      <w:r w:rsidR="00F555B3">
        <w:rPr>
          <w:rFonts w:ascii="Times New Roman" w:hAnsi="Times New Roman"/>
          <w:sz w:val="24"/>
          <w:szCs w:val="24"/>
          <w:shd w:val="clear" w:color="auto" w:fill="FFFFFF"/>
        </w:rPr>
        <w:t>be more appointment</w:t>
      </w:r>
      <w:r w:rsidR="00526805">
        <w:rPr>
          <w:rFonts w:ascii="Times New Roman" w:hAnsi="Times New Roman"/>
          <w:sz w:val="24"/>
          <w:szCs w:val="24"/>
          <w:shd w:val="clear" w:color="auto" w:fill="FFFFFF"/>
        </w:rPr>
        <w:t xml:space="preserve">s of scientists offering </w:t>
      </w:r>
      <w:r w:rsidR="00F555B3">
        <w:rPr>
          <w:rFonts w:ascii="Times New Roman" w:hAnsi="Times New Roman"/>
          <w:sz w:val="24"/>
          <w:szCs w:val="24"/>
          <w:shd w:val="clear" w:color="auto" w:fill="FFFFFF"/>
        </w:rPr>
        <w:t>unique learning experiences for our students</w:t>
      </w:r>
      <w:r w:rsidR="003E76D4">
        <w:rPr>
          <w:rFonts w:ascii="Times New Roman" w:hAnsi="Times New Roman"/>
          <w:sz w:val="24"/>
          <w:szCs w:val="24"/>
          <w:shd w:val="clear" w:color="auto" w:fill="FFFFFF"/>
        </w:rPr>
        <w:t>.</w:t>
      </w:r>
    </w:p>
    <w:p w14:paraId="6FF1FA39" w14:textId="32D2220E" w:rsidR="00812D73" w:rsidRDefault="00812D73" w:rsidP="00964C7B">
      <w:pPr>
        <w:rPr>
          <w:rFonts w:ascii="Times New Roman" w:hAnsi="Times New Roman"/>
          <w:sz w:val="24"/>
          <w:szCs w:val="24"/>
          <w:shd w:val="clear" w:color="auto" w:fill="FFFFFF"/>
        </w:rPr>
      </w:pPr>
    </w:p>
    <w:p w14:paraId="42713493" w14:textId="5F8EB092" w:rsidR="00812D73" w:rsidRDefault="00812D73" w:rsidP="00964C7B">
      <w:pPr>
        <w:rPr>
          <w:rFonts w:ascii="Times New Roman" w:hAnsi="Times New Roman"/>
          <w:sz w:val="24"/>
          <w:szCs w:val="24"/>
          <w:shd w:val="clear" w:color="auto" w:fill="FFFFFF"/>
        </w:rPr>
      </w:pPr>
      <w:r w:rsidRPr="007C643D">
        <w:rPr>
          <w:rFonts w:ascii="Times New Roman" w:hAnsi="Times New Roman"/>
          <w:b/>
          <w:sz w:val="24"/>
          <w:szCs w:val="24"/>
          <w:shd w:val="clear" w:color="auto" w:fill="FFFFFF"/>
        </w:rPr>
        <w:t>Reference</w:t>
      </w:r>
      <w:r w:rsidR="009A003E" w:rsidRPr="007C643D">
        <w:rPr>
          <w:rFonts w:ascii="Times New Roman" w:hAnsi="Times New Roman"/>
          <w:b/>
          <w:sz w:val="24"/>
          <w:szCs w:val="24"/>
          <w:shd w:val="clear" w:color="auto" w:fill="FFFFFF"/>
        </w:rPr>
        <w:t>:</w:t>
      </w:r>
      <w:r w:rsidR="009A003E">
        <w:rPr>
          <w:rFonts w:ascii="Times New Roman" w:hAnsi="Times New Roman"/>
          <w:sz w:val="24"/>
          <w:szCs w:val="24"/>
          <w:shd w:val="clear" w:color="auto" w:fill="FFFFFF"/>
        </w:rPr>
        <w:t xml:space="preserve"> Summer Term Steering Committee</w:t>
      </w:r>
      <w:r>
        <w:rPr>
          <w:rFonts w:ascii="Times New Roman" w:hAnsi="Times New Roman"/>
          <w:sz w:val="24"/>
          <w:szCs w:val="24"/>
          <w:shd w:val="clear" w:color="auto" w:fill="FFFFFF"/>
        </w:rPr>
        <w:t xml:space="preserve"> </w:t>
      </w:r>
      <w:r w:rsidR="009A003E">
        <w:rPr>
          <w:rFonts w:ascii="Times New Roman" w:hAnsi="Times New Roman"/>
          <w:sz w:val="24"/>
          <w:szCs w:val="24"/>
          <w:shd w:val="clear" w:color="auto" w:fill="FFFFFF"/>
        </w:rPr>
        <w:t>Report to Provost Sarah Mangelsdorf, November 2016</w:t>
      </w:r>
    </w:p>
    <w:p w14:paraId="5DCBFE89" w14:textId="77777777" w:rsidR="003E76D4" w:rsidRDefault="003E76D4" w:rsidP="00964C7B">
      <w:pPr>
        <w:rPr>
          <w:rFonts w:ascii="Times New Roman" w:hAnsi="Times New Roman"/>
          <w:sz w:val="24"/>
          <w:szCs w:val="24"/>
          <w:shd w:val="clear" w:color="auto" w:fill="FFFFFF"/>
        </w:rPr>
      </w:pPr>
    </w:p>
    <w:p w14:paraId="75F0B372" w14:textId="77777777" w:rsidR="004F02E4" w:rsidRDefault="004F02E4" w:rsidP="00964C7B">
      <w:pPr>
        <w:rPr>
          <w:rFonts w:ascii="Times New Roman" w:hAnsi="Times New Roman"/>
          <w:sz w:val="24"/>
          <w:szCs w:val="24"/>
          <w:shd w:val="clear" w:color="auto" w:fill="FFFFFF"/>
        </w:rPr>
      </w:pPr>
    </w:p>
    <w:p w14:paraId="2E2108E9" w14:textId="77777777" w:rsidR="004F02E4" w:rsidRDefault="004F02E4" w:rsidP="00964C7B">
      <w:pPr>
        <w:rPr>
          <w:rFonts w:ascii="Times New Roman" w:hAnsi="Times New Roman"/>
          <w:sz w:val="24"/>
          <w:szCs w:val="24"/>
          <w:shd w:val="clear" w:color="auto" w:fill="FFFFFF"/>
        </w:rPr>
      </w:pPr>
    </w:p>
    <w:p w14:paraId="445FAD15" w14:textId="77777777" w:rsidR="004F02E4" w:rsidRDefault="004F02E4" w:rsidP="00964C7B">
      <w:pPr>
        <w:rPr>
          <w:rFonts w:ascii="Times New Roman" w:hAnsi="Times New Roman"/>
          <w:sz w:val="24"/>
          <w:szCs w:val="24"/>
          <w:shd w:val="clear" w:color="auto" w:fill="FFFFFF"/>
        </w:rPr>
      </w:pPr>
    </w:p>
    <w:p w14:paraId="257FE1B0" w14:textId="77777777" w:rsidR="004F02E4" w:rsidRDefault="004F02E4" w:rsidP="00964C7B">
      <w:pPr>
        <w:rPr>
          <w:rFonts w:ascii="Times New Roman" w:hAnsi="Times New Roman"/>
          <w:sz w:val="24"/>
          <w:szCs w:val="24"/>
          <w:shd w:val="clear" w:color="auto" w:fill="FFFFFF"/>
        </w:rPr>
      </w:pPr>
    </w:p>
    <w:p w14:paraId="3601D55C" w14:textId="77777777" w:rsidR="004F02E4" w:rsidRDefault="004F02E4" w:rsidP="00964C7B">
      <w:pPr>
        <w:rPr>
          <w:rFonts w:ascii="Times New Roman" w:hAnsi="Times New Roman"/>
          <w:sz w:val="24"/>
          <w:szCs w:val="24"/>
          <w:shd w:val="clear" w:color="auto" w:fill="FFFFFF"/>
        </w:rPr>
      </w:pPr>
    </w:p>
    <w:p w14:paraId="7F62FBA4" w14:textId="77777777" w:rsidR="004F02E4" w:rsidRDefault="004F02E4" w:rsidP="00964C7B">
      <w:pPr>
        <w:rPr>
          <w:rFonts w:ascii="Times New Roman" w:hAnsi="Times New Roman"/>
          <w:sz w:val="24"/>
          <w:szCs w:val="24"/>
          <w:shd w:val="clear" w:color="auto" w:fill="FFFFFF"/>
        </w:rPr>
      </w:pPr>
    </w:p>
    <w:p w14:paraId="135CBEE3" w14:textId="77777777" w:rsidR="004F02E4" w:rsidRPr="00254B6C" w:rsidRDefault="004F02E4" w:rsidP="00964C7B">
      <w:pPr>
        <w:rPr>
          <w:rFonts w:ascii="Times New Roman" w:hAnsi="Times New Roman"/>
          <w:sz w:val="24"/>
          <w:szCs w:val="24"/>
          <w:shd w:val="clear" w:color="auto" w:fill="FFFFFF"/>
        </w:rPr>
      </w:pPr>
    </w:p>
    <w:sectPr w:rsidR="004F02E4" w:rsidRPr="00254B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9F73" w14:textId="77777777" w:rsidR="00801966" w:rsidRDefault="00801966" w:rsidP="00830737">
      <w:r>
        <w:separator/>
      </w:r>
    </w:p>
  </w:endnote>
  <w:endnote w:type="continuationSeparator" w:id="0">
    <w:p w14:paraId="7B33D5CA" w14:textId="77777777" w:rsidR="00801966" w:rsidRDefault="00801966" w:rsidP="0083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160E" w14:textId="77777777" w:rsidR="00830737" w:rsidRDefault="0083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00872"/>
      <w:docPartObj>
        <w:docPartGallery w:val="Page Numbers (Bottom of Page)"/>
        <w:docPartUnique/>
      </w:docPartObj>
    </w:sdtPr>
    <w:sdtEndPr>
      <w:rPr>
        <w:noProof/>
      </w:rPr>
    </w:sdtEndPr>
    <w:sdtContent>
      <w:bookmarkStart w:id="6" w:name="_GoBack" w:displacedByCustomXml="prev"/>
      <w:bookmarkEnd w:id="6" w:displacedByCustomXml="prev"/>
      <w:p w14:paraId="33B8E4B3" w14:textId="5D20B038" w:rsidR="00830737" w:rsidRDefault="00830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536EA" w14:textId="77777777" w:rsidR="00830737" w:rsidRDefault="00830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BBF9" w14:textId="77777777" w:rsidR="00830737" w:rsidRDefault="0083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6432E" w14:textId="77777777" w:rsidR="00801966" w:rsidRDefault="00801966" w:rsidP="00830737">
      <w:r>
        <w:separator/>
      </w:r>
    </w:p>
  </w:footnote>
  <w:footnote w:type="continuationSeparator" w:id="0">
    <w:p w14:paraId="4743F111" w14:textId="77777777" w:rsidR="00801966" w:rsidRDefault="00801966" w:rsidP="0083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6C91" w14:textId="77777777" w:rsidR="00830737" w:rsidRDefault="0083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7A7E" w14:textId="77777777" w:rsidR="00830737" w:rsidRDefault="00830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0B2E" w14:textId="77777777" w:rsidR="00830737" w:rsidRDefault="00830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3A9"/>
    <w:multiLevelType w:val="hybridMultilevel"/>
    <w:tmpl w:val="E9589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28E5"/>
    <w:multiLevelType w:val="hybridMultilevel"/>
    <w:tmpl w:val="17129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5553B"/>
    <w:multiLevelType w:val="hybridMultilevel"/>
    <w:tmpl w:val="0472E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B2AC7"/>
    <w:multiLevelType w:val="hybridMultilevel"/>
    <w:tmpl w:val="84EE0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94ABD"/>
    <w:multiLevelType w:val="hybridMultilevel"/>
    <w:tmpl w:val="EC6C81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C9"/>
    <w:rsid w:val="00043250"/>
    <w:rsid w:val="00086EE5"/>
    <w:rsid w:val="001641F0"/>
    <w:rsid w:val="001A5E4F"/>
    <w:rsid w:val="001F09E6"/>
    <w:rsid w:val="001F7ABF"/>
    <w:rsid w:val="00205519"/>
    <w:rsid w:val="00254B6C"/>
    <w:rsid w:val="00276D01"/>
    <w:rsid w:val="003461E7"/>
    <w:rsid w:val="003622B5"/>
    <w:rsid w:val="003D1D89"/>
    <w:rsid w:val="003E76D4"/>
    <w:rsid w:val="004116EB"/>
    <w:rsid w:val="004F02E4"/>
    <w:rsid w:val="004F63D7"/>
    <w:rsid w:val="00526805"/>
    <w:rsid w:val="00534839"/>
    <w:rsid w:val="00557A3D"/>
    <w:rsid w:val="00586402"/>
    <w:rsid w:val="005A7522"/>
    <w:rsid w:val="005D442F"/>
    <w:rsid w:val="005F527D"/>
    <w:rsid w:val="00603A3B"/>
    <w:rsid w:val="00643E14"/>
    <w:rsid w:val="006C2CF0"/>
    <w:rsid w:val="0074027B"/>
    <w:rsid w:val="007C643D"/>
    <w:rsid w:val="00801966"/>
    <w:rsid w:val="00812D73"/>
    <w:rsid w:val="00830737"/>
    <w:rsid w:val="0085250E"/>
    <w:rsid w:val="008B30C9"/>
    <w:rsid w:val="008C36EC"/>
    <w:rsid w:val="0092588C"/>
    <w:rsid w:val="00954F7E"/>
    <w:rsid w:val="00964C7B"/>
    <w:rsid w:val="00995905"/>
    <w:rsid w:val="009A003E"/>
    <w:rsid w:val="009D155C"/>
    <w:rsid w:val="00A83952"/>
    <w:rsid w:val="00A94A69"/>
    <w:rsid w:val="00AF2CC8"/>
    <w:rsid w:val="00B2579A"/>
    <w:rsid w:val="00C272A9"/>
    <w:rsid w:val="00C639BE"/>
    <w:rsid w:val="00D16348"/>
    <w:rsid w:val="00D475CE"/>
    <w:rsid w:val="00D7219D"/>
    <w:rsid w:val="00E3262D"/>
    <w:rsid w:val="00E87203"/>
    <w:rsid w:val="00EA310B"/>
    <w:rsid w:val="00ED6C4A"/>
    <w:rsid w:val="00F10AFF"/>
    <w:rsid w:val="00F36167"/>
    <w:rsid w:val="00F555B3"/>
    <w:rsid w:val="00FB68D2"/>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C941"/>
  <w15:chartTrackingRefBased/>
  <w15:docId w15:val="{EFF56528-CA54-430A-A0AF-580221D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0C9"/>
    <w:rPr>
      <w:color w:val="0563C1"/>
      <w:u w:val="single"/>
    </w:rPr>
  </w:style>
  <w:style w:type="paragraph" w:customStyle="1" w:styleId="size-131">
    <w:name w:val="size-131"/>
    <w:basedOn w:val="Normal"/>
    <w:rsid w:val="00534839"/>
    <w:pPr>
      <w:spacing w:before="100" w:beforeAutospacing="1" w:after="100" w:afterAutospacing="1" w:line="315" w:lineRule="atLeast"/>
    </w:pPr>
    <w:rPr>
      <w:rFonts w:ascii="Times New Roman" w:hAnsi="Times New Roman"/>
      <w:sz w:val="20"/>
      <w:szCs w:val="20"/>
    </w:rPr>
  </w:style>
  <w:style w:type="paragraph" w:customStyle="1" w:styleId="size-181">
    <w:name w:val="size-181"/>
    <w:basedOn w:val="Normal"/>
    <w:rsid w:val="00534839"/>
    <w:pPr>
      <w:spacing w:before="100" w:beforeAutospacing="1" w:after="100" w:afterAutospacing="1" w:line="390" w:lineRule="atLeast"/>
    </w:pPr>
    <w:rPr>
      <w:rFonts w:ascii="Times New Roman" w:hAnsi="Times New Roman"/>
      <w:sz w:val="27"/>
      <w:szCs w:val="27"/>
    </w:rPr>
  </w:style>
  <w:style w:type="character" w:customStyle="1" w:styleId="font-georgia">
    <w:name w:val="font-georgia"/>
    <w:basedOn w:val="DefaultParagraphFont"/>
    <w:rsid w:val="00534839"/>
  </w:style>
  <w:style w:type="character" w:styleId="Strong">
    <w:name w:val="Strong"/>
    <w:basedOn w:val="DefaultParagraphFont"/>
    <w:uiPriority w:val="22"/>
    <w:qFormat/>
    <w:rsid w:val="00534839"/>
    <w:rPr>
      <w:b/>
      <w:bCs/>
    </w:rPr>
  </w:style>
  <w:style w:type="character" w:styleId="FollowedHyperlink">
    <w:name w:val="FollowedHyperlink"/>
    <w:basedOn w:val="DefaultParagraphFont"/>
    <w:uiPriority w:val="99"/>
    <w:semiHidden/>
    <w:unhideWhenUsed/>
    <w:rsid w:val="00954F7E"/>
    <w:rPr>
      <w:color w:val="954F72" w:themeColor="followedHyperlink"/>
      <w:u w:val="single"/>
    </w:rPr>
  </w:style>
  <w:style w:type="character" w:customStyle="1" w:styleId="apple-converted-space">
    <w:name w:val="apple-converted-space"/>
    <w:basedOn w:val="DefaultParagraphFont"/>
    <w:rsid w:val="00954F7E"/>
  </w:style>
  <w:style w:type="paragraph" w:styleId="BalloonText">
    <w:name w:val="Balloon Text"/>
    <w:basedOn w:val="Normal"/>
    <w:link w:val="BalloonTextChar"/>
    <w:uiPriority w:val="99"/>
    <w:semiHidden/>
    <w:unhideWhenUsed/>
    <w:rsid w:val="00276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01"/>
    <w:rPr>
      <w:rFonts w:ascii="Segoe UI" w:hAnsi="Segoe UI" w:cs="Segoe UI"/>
      <w:sz w:val="18"/>
      <w:szCs w:val="18"/>
    </w:rPr>
  </w:style>
  <w:style w:type="character" w:styleId="CommentReference">
    <w:name w:val="annotation reference"/>
    <w:basedOn w:val="DefaultParagraphFont"/>
    <w:uiPriority w:val="99"/>
    <w:semiHidden/>
    <w:unhideWhenUsed/>
    <w:rsid w:val="00E3262D"/>
    <w:rPr>
      <w:sz w:val="16"/>
      <w:szCs w:val="16"/>
    </w:rPr>
  </w:style>
  <w:style w:type="paragraph" w:styleId="CommentText">
    <w:name w:val="annotation text"/>
    <w:basedOn w:val="Normal"/>
    <w:link w:val="CommentTextChar"/>
    <w:uiPriority w:val="99"/>
    <w:semiHidden/>
    <w:unhideWhenUsed/>
    <w:rsid w:val="00E3262D"/>
    <w:rPr>
      <w:sz w:val="20"/>
      <w:szCs w:val="20"/>
    </w:rPr>
  </w:style>
  <w:style w:type="character" w:customStyle="1" w:styleId="CommentTextChar">
    <w:name w:val="Comment Text Char"/>
    <w:basedOn w:val="DefaultParagraphFont"/>
    <w:link w:val="CommentText"/>
    <w:uiPriority w:val="99"/>
    <w:semiHidden/>
    <w:rsid w:val="00E326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262D"/>
    <w:rPr>
      <w:b/>
      <w:bCs/>
    </w:rPr>
  </w:style>
  <w:style w:type="character" w:customStyle="1" w:styleId="CommentSubjectChar">
    <w:name w:val="Comment Subject Char"/>
    <w:basedOn w:val="CommentTextChar"/>
    <w:link w:val="CommentSubject"/>
    <w:uiPriority w:val="99"/>
    <w:semiHidden/>
    <w:rsid w:val="00E3262D"/>
    <w:rPr>
      <w:rFonts w:ascii="Calibri" w:hAnsi="Calibri" w:cs="Times New Roman"/>
      <w:b/>
      <w:bCs/>
      <w:sz w:val="20"/>
      <w:szCs w:val="20"/>
    </w:rPr>
  </w:style>
  <w:style w:type="table" w:customStyle="1" w:styleId="LightList-Accent11">
    <w:name w:val="Light List - Accent 11"/>
    <w:basedOn w:val="TableNormal"/>
    <w:uiPriority w:val="61"/>
    <w:rsid w:val="00526805"/>
    <w:pPr>
      <w:spacing w:after="0" w:line="240" w:lineRule="auto"/>
    </w:pPr>
    <w:tblPr>
      <w:tblStyleRowBandSize w:val="1"/>
      <w:tblStyleColBandSize w:val="1"/>
      <w:tblInd w:w="0" w:type="nil"/>
      <w:tblBorders>
        <w:top w:val="single" w:sz="8" w:space="0" w:color="B70101"/>
        <w:left w:val="single" w:sz="8" w:space="0" w:color="B70101"/>
        <w:bottom w:val="single" w:sz="8" w:space="0" w:color="B70101"/>
        <w:right w:val="single" w:sz="8" w:space="0" w:color="B70101"/>
      </w:tblBorders>
    </w:tblPr>
    <w:tblStylePr w:type="firstRow">
      <w:pPr>
        <w:spacing w:beforeLines="0" w:before="0" w:beforeAutospacing="0" w:afterLines="0" w:after="0" w:afterAutospacing="0" w:line="240" w:lineRule="auto"/>
      </w:pPr>
      <w:rPr>
        <w:b/>
        <w:bCs/>
        <w:color w:val="FFFFFF"/>
      </w:rPr>
      <w:tblPr/>
      <w:tcPr>
        <w:shd w:val="clear" w:color="auto" w:fill="B70101"/>
      </w:tcPr>
    </w:tblStylePr>
    <w:tblStylePr w:type="lastRow">
      <w:pPr>
        <w:spacing w:beforeLines="0" w:before="0" w:beforeAutospacing="0" w:afterLines="0" w:after="0" w:afterAutospacing="0" w:line="240" w:lineRule="auto"/>
      </w:pPr>
      <w:rPr>
        <w:b/>
        <w:bCs/>
      </w:rPr>
      <w:tblPr/>
      <w:tcPr>
        <w:tcBorders>
          <w:top w:val="double" w:sz="6" w:space="0" w:color="B70101"/>
          <w:left w:val="single" w:sz="8" w:space="0" w:color="B70101"/>
          <w:bottom w:val="single" w:sz="8" w:space="0" w:color="B70101"/>
          <w:right w:val="single" w:sz="8" w:space="0" w:color="B70101"/>
        </w:tcBorders>
      </w:tcPr>
    </w:tblStylePr>
    <w:tblStylePr w:type="firstCol">
      <w:rPr>
        <w:b/>
        <w:bCs/>
      </w:rPr>
    </w:tblStylePr>
    <w:tblStylePr w:type="lastCol">
      <w:rPr>
        <w:b/>
        <w:bCs/>
      </w:rPr>
    </w:tblStylePr>
    <w:tblStylePr w:type="band1Vert">
      <w:tblPr/>
      <w:tcPr>
        <w:tcBorders>
          <w:top w:val="single" w:sz="8" w:space="0" w:color="B70101"/>
          <w:left w:val="single" w:sz="8" w:space="0" w:color="B70101"/>
          <w:bottom w:val="single" w:sz="8" w:space="0" w:color="B70101"/>
          <w:right w:val="single" w:sz="8" w:space="0" w:color="B70101"/>
        </w:tcBorders>
      </w:tcPr>
    </w:tblStylePr>
    <w:tblStylePr w:type="band1Horz">
      <w:tblPr/>
      <w:tcPr>
        <w:tcBorders>
          <w:top w:val="single" w:sz="8" w:space="0" w:color="B70101"/>
          <w:left w:val="single" w:sz="8" w:space="0" w:color="B70101"/>
          <w:bottom w:val="single" w:sz="8" w:space="0" w:color="B70101"/>
          <w:right w:val="single" w:sz="8" w:space="0" w:color="B70101"/>
        </w:tcBorders>
      </w:tcPr>
    </w:tblStylePr>
  </w:style>
  <w:style w:type="paragraph" w:styleId="Header">
    <w:name w:val="header"/>
    <w:basedOn w:val="Normal"/>
    <w:link w:val="HeaderChar"/>
    <w:uiPriority w:val="99"/>
    <w:unhideWhenUsed/>
    <w:rsid w:val="00830737"/>
    <w:pPr>
      <w:tabs>
        <w:tab w:val="center" w:pos="4680"/>
        <w:tab w:val="right" w:pos="9360"/>
      </w:tabs>
    </w:pPr>
  </w:style>
  <w:style w:type="character" w:customStyle="1" w:styleId="HeaderChar">
    <w:name w:val="Header Char"/>
    <w:basedOn w:val="DefaultParagraphFont"/>
    <w:link w:val="Header"/>
    <w:uiPriority w:val="99"/>
    <w:rsid w:val="00830737"/>
    <w:rPr>
      <w:rFonts w:ascii="Calibri" w:hAnsi="Calibri" w:cs="Times New Roman"/>
    </w:rPr>
  </w:style>
  <w:style w:type="paragraph" w:styleId="Footer">
    <w:name w:val="footer"/>
    <w:basedOn w:val="Normal"/>
    <w:link w:val="FooterChar"/>
    <w:uiPriority w:val="99"/>
    <w:unhideWhenUsed/>
    <w:rsid w:val="00830737"/>
    <w:pPr>
      <w:tabs>
        <w:tab w:val="center" w:pos="4680"/>
        <w:tab w:val="right" w:pos="9360"/>
      </w:tabs>
    </w:pPr>
  </w:style>
  <w:style w:type="character" w:customStyle="1" w:styleId="FooterChar">
    <w:name w:val="Footer Char"/>
    <w:basedOn w:val="DefaultParagraphFont"/>
    <w:link w:val="Footer"/>
    <w:uiPriority w:val="99"/>
    <w:rsid w:val="0083073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760">
      <w:bodyDiv w:val="1"/>
      <w:marLeft w:val="0"/>
      <w:marRight w:val="0"/>
      <w:marTop w:val="0"/>
      <w:marBottom w:val="0"/>
      <w:divBdr>
        <w:top w:val="none" w:sz="0" w:space="0" w:color="auto"/>
        <w:left w:val="none" w:sz="0" w:space="0" w:color="auto"/>
        <w:bottom w:val="none" w:sz="0" w:space="0" w:color="auto"/>
        <w:right w:val="none" w:sz="0" w:space="0" w:color="auto"/>
      </w:divBdr>
    </w:div>
    <w:div w:id="324167413">
      <w:bodyDiv w:val="1"/>
      <w:marLeft w:val="0"/>
      <w:marRight w:val="0"/>
      <w:marTop w:val="0"/>
      <w:marBottom w:val="0"/>
      <w:divBdr>
        <w:top w:val="none" w:sz="0" w:space="0" w:color="auto"/>
        <w:left w:val="none" w:sz="0" w:space="0" w:color="auto"/>
        <w:bottom w:val="none" w:sz="0" w:space="0" w:color="auto"/>
        <w:right w:val="none" w:sz="0" w:space="0" w:color="auto"/>
      </w:divBdr>
    </w:div>
    <w:div w:id="3327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2A4A-DBEB-44FD-BC2B-1B0A6A26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 ROBBINS</dc:creator>
  <cp:keywords/>
  <dc:description/>
  <cp:lastModifiedBy>Russell, Jeffrey S.</cp:lastModifiedBy>
  <cp:revision>8</cp:revision>
  <cp:lastPrinted>2017-03-20T18:06:00Z</cp:lastPrinted>
  <dcterms:created xsi:type="dcterms:W3CDTF">2017-04-13T21:07:00Z</dcterms:created>
  <dcterms:modified xsi:type="dcterms:W3CDTF">2017-04-13T21:14:00Z</dcterms:modified>
</cp:coreProperties>
</file>