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E9" w:rsidRPr="003E48E9" w:rsidRDefault="003E48E9" w:rsidP="003E48E9">
      <w:pPr>
        <w:jc w:val="center"/>
        <w:rPr>
          <w:i/>
          <w:sz w:val="56"/>
        </w:rPr>
      </w:pPr>
      <w:r w:rsidRPr="003E48E9">
        <w:rPr>
          <w:i/>
          <w:sz w:val="56"/>
        </w:rPr>
        <w:t>DRAFT</w:t>
      </w:r>
    </w:p>
    <w:p w:rsidR="003E48E9" w:rsidRDefault="003E48E9">
      <w:pPr>
        <w:rPr>
          <w:i/>
        </w:rPr>
      </w:pPr>
    </w:p>
    <w:p w:rsidR="00CE2241" w:rsidRPr="00CE2241" w:rsidRDefault="00CE2241">
      <w:pPr>
        <w:rPr>
          <w:i/>
        </w:rPr>
      </w:pPr>
      <w:r w:rsidRPr="00CE2241">
        <w:rPr>
          <w:i/>
        </w:rPr>
        <w:t>Professor of the Practice</w:t>
      </w:r>
    </w:p>
    <w:p w:rsidR="00052537" w:rsidRPr="0004525E" w:rsidRDefault="00CE2241" w:rsidP="00052537">
      <w:pPr>
        <w:pStyle w:val="Default"/>
        <w:rPr>
          <w:rFonts w:ascii="BLHKFE+TimesNewRoman" w:hAnsi="BLHKFE+TimesNewRoman" w:cs="BLHKFE+TimesNewRoman"/>
        </w:rPr>
      </w:pPr>
      <w:r>
        <w:t xml:space="preserve">There are many roles and opportunities for individuals with distinguished careers outside of the university environment to play in furthering the educational and research goals of the academy. The technical and life experience of these individuals can enrich </w:t>
      </w:r>
      <w:r w:rsidR="00A55658">
        <w:t>the experience of our students and offer opportunities to the research mission. These individuals often offer their services to a college or department without the expectation or desire for financial compensation</w:t>
      </w:r>
      <w:r w:rsidR="00E226FD">
        <w:t xml:space="preserve"> from the institutional budget</w:t>
      </w:r>
      <w:r w:rsidR="00A55658">
        <w:t xml:space="preserve">. There are many examples of such individuals. People currently or previously engaged in industry, foundations, the government, or other educational institutions have approached various departments and colleges and offered their experience and service in the training of students through mentoring, formal course offerings, or participation in research activities.   At present there are no professorial titles available to recognize these people, their distinguished careers, and active engagement in the life of the university. There are a variety of honorific titles which are available to individuals based on their role in the university. </w:t>
      </w:r>
      <w:r w:rsidR="00E04D74">
        <w:t xml:space="preserve">These titles are granted after approval through appropriate faculty governance bodies. </w:t>
      </w:r>
      <w:r w:rsidR="00B00A2D">
        <w:t xml:space="preserve">The title of adjunct professor is applied to those </w:t>
      </w:r>
      <w:r w:rsidR="00052537">
        <w:t>individuals from</w:t>
      </w:r>
      <w:r w:rsidR="00B00A2D">
        <w:t xml:space="preserve"> a non-instructional institution and persons whose professional career is primarily outside of University instruction. Adjunct faculty must be </w:t>
      </w:r>
      <w:r w:rsidR="00B00A2D" w:rsidRPr="000F70B6">
        <w:t>performing primarily instructional activities</w:t>
      </w:r>
      <w:r w:rsidR="00052537" w:rsidRPr="000F70B6">
        <w:t xml:space="preserve"> and are compensated</w:t>
      </w:r>
      <w:r w:rsidR="00E04D74" w:rsidRPr="000F70B6">
        <w:t xml:space="preserve"> through a paid appointment</w:t>
      </w:r>
      <w:r w:rsidR="00052537" w:rsidRPr="000F70B6">
        <w:t xml:space="preserve">. </w:t>
      </w:r>
      <w:r w:rsidR="00052537" w:rsidRPr="000F70B6">
        <w:rPr>
          <w:rFonts w:ascii="BLHKFE+TimesNewRoman" w:hAnsi="BLHKFE+TimesNewRoman"/>
        </w:rPr>
        <w:t xml:space="preserve"> </w:t>
      </w:r>
      <w:r w:rsidR="00052537" w:rsidRPr="0004525E">
        <w:rPr>
          <w:rFonts w:ascii="BLHKFE+TimesNewRoman" w:hAnsi="BLHKFE+TimesNewRoman" w:cs="BLHKFE+TimesNewRoman"/>
        </w:rPr>
        <w:t xml:space="preserve">The </w:t>
      </w:r>
      <w:r w:rsidR="00052537" w:rsidRPr="0004525E">
        <w:rPr>
          <w:rFonts w:ascii="BLHKJC+TimesNewRoman,Italic" w:hAnsi="BLHKJC+TimesNewRoman,Italic" w:cs="BLHKJC+TimesNewRoman,Italic"/>
        </w:rPr>
        <w:t xml:space="preserve">research professor </w:t>
      </w:r>
      <w:r w:rsidR="00052537" w:rsidRPr="0004525E">
        <w:rPr>
          <w:rFonts w:ascii="BLHKFE+TimesNewRoman" w:hAnsi="BLHKFE+TimesNewRoman" w:cs="BLHKFE+TimesNewRoman"/>
        </w:rPr>
        <w:t xml:space="preserve">titles are limited, in nearly all cases, to academic staff members whose funding is 50% or more from non-state GPR sources. </w:t>
      </w:r>
    </w:p>
    <w:p w:rsidR="00052537" w:rsidRPr="0004525E" w:rsidRDefault="00052537" w:rsidP="00052537">
      <w:pPr>
        <w:pStyle w:val="Default"/>
        <w:rPr>
          <w:rFonts w:ascii="BLHKFE+TimesNewRoman" w:hAnsi="BLHKFE+TimesNewRoman" w:cs="BLHKFE+TimesNewRoman"/>
        </w:rPr>
      </w:pPr>
    </w:p>
    <w:p w:rsidR="00355E16" w:rsidRPr="0004525E" w:rsidRDefault="00052537" w:rsidP="00052537">
      <w:pPr>
        <w:pStyle w:val="Default"/>
        <w:rPr>
          <w:rFonts w:ascii="BLHKFE+TimesNewRoman" w:hAnsi="BLHKFE+TimesNewRoman" w:cs="BLHKFE+TimesNewRoman"/>
        </w:rPr>
      </w:pPr>
      <w:r w:rsidRPr="0004525E">
        <w:rPr>
          <w:rFonts w:ascii="BLHKFE+TimesNewRoman" w:hAnsi="BLHKFE+TimesNewRoman" w:cs="BLHKFE+TimesNewRoman"/>
        </w:rPr>
        <w:t xml:space="preserve">Most of our peer </w:t>
      </w:r>
      <w:r w:rsidR="00355E16" w:rsidRPr="0004525E">
        <w:rPr>
          <w:rFonts w:ascii="BLHKFE+TimesNewRoman" w:hAnsi="BLHKFE+TimesNewRoman" w:cs="BLHKFE+TimesNewRoman"/>
        </w:rPr>
        <w:t>institutions</w:t>
      </w:r>
      <w:r w:rsidRPr="0004525E">
        <w:rPr>
          <w:rFonts w:ascii="BLHKFE+TimesNewRoman" w:hAnsi="BLHKFE+TimesNewRoman" w:cs="BLHKFE+TimesNewRoman"/>
        </w:rPr>
        <w:t xml:space="preserve"> have utilized the </w:t>
      </w:r>
      <w:r w:rsidR="00355E16" w:rsidRPr="0004525E">
        <w:rPr>
          <w:rFonts w:ascii="BLHKFE+TimesNewRoman" w:hAnsi="BLHKFE+TimesNewRoman" w:cs="BLHKFE+TimesNewRoman"/>
        </w:rPr>
        <w:t>title</w:t>
      </w:r>
      <w:r w:rsidRPr="0004525E">
        <w:rPr>
          <w:rFonts w:ascii="BLHKFE+TimesNewRoman" w:hAnsi="BLHKFE+TimesNewRoman" w:cs="BLHKFE+TimesNewRoman"/>
        </w:rPr>
        <w:t xml:space="preserve"> </w:t>
      </w:r>
      <w:r w:rsidR="00355E16" w:rsidRPr="0004525E">
        <w:rPr>
          <w:rFonts w:ascii="BLHKFE+TimesNewRoman" w:hAnsi="BLHKFE+TimesNewRoman" w:cs="BLHKFE+TimesNewRoman"/>
          <w:i/>
        </w:rPr>
        <w:t>Professor</w:t>
      </w:r>
      <w:r w:rsidRPr="0004525E">
        <w:rPr>
          <w:rFonts w:ascii="BLHKFE+TimesNewRoman" w:hAnsi="BLHKFE+TimesNewRoman" w:cs="BLHKFE+TimesNewRoman"/>
          <w:i/>
        </w:rPr>
        <w:t xml:space="preserve"> of the Practice</w:t>
      </w:r>
      <w:r w:rsidRPr="0004525E">
        <w:rPr>
          <w:rFonts w:ascii="BLHKFE+TimesNewRoman" w:hAnsi="BLHKFE+TimesNewRoman" w:cs="BLHKFE+TimesNewRoman"/>
        </w:rPr>
        <w:t xml:space="preserve"> to recog</w:t>
      </w:r>
      <w:r w:rsidR="00355E16" w:rsidRPr="0004525E">
        <w:rPr>
          <w:rFonts w:ascii="BLHKFE+TimesNewRoman" w:hAnsi="BLHKFE+TimesNewRoman" w:cs="BLHKFE+TimesNewRoman"/>
        </w:rPr>
        <w:t>nize these people and their participation in the life of the unit.</w:t>
      </w:r>
      <w:r w:rsidR="003E48E9" w:rsidRPr="0004525E">
        <w:rPr>
          <w:rFonts w:ascii="BLHKFE+TimesNewRoman" w:hAnsi="BLHKFE+TimesNewRoman" w:cs="BLHKFE+TimesNewRoman"/>
        </w:rPr>
        <w:t xml:space="preserve"> The title recognizes their status as a peer in the community, particularly when interacting with students. Given the industrial or governmental background of some individuals, they can offer assistance when navigating funding agencies and industrial concerns. An appropriate title from the university allows their representation of our interests as a member of our community. At present, th</w:t>
      </w:r>
      <w:r w:rsidR="00E04D74" w:rsidRPr="0004525E">
        <w:rPr>
          <w:rFonts w:ascii="BLHKFE+TimesNewRoman" w:hAnsi="BLHKFE+TimesNewRoman" w:cs="BLHKFE+TimesNewRoman"/>
        </w:rPr>
        <w:t>e</w:t>
      </w:r>
      <w:r w:rsidR="003E48E9" w:rsidRPr="0004525E">
        <w:rPr>
          <w:rFonts w:ascii="BLHKFE+TimesNewRoman" w:hAnsi="BLHKFE+TimesNewRoman" w:cs="BLHKFE+TimesNewRoman"/>
        </w:rPr>
        <w:t xml:space="preserve"> lack of such a title places many of the activities within the college at a competitive disadvantage when attracting such individuals to our efforts and in allowing engaged individuals to be identified a partner with the university. A professorial title associated with this type of engagement, i.e. service without financial compensation, is not represented within the range of available honorific titles. We therefore propose t</w:t>
      </w:r>
      <w:r w:rsidR="00E04D74" w:rsidRPr="0004525E">
        <w:rPr>
          <w:rFonts w:ascii="BLHKFE+TimesNewRoman" w:hAnsi="BLHKFE+TimesNewRoman" w:cs="BLHKFE+TimesNewRoman"/>
        </w:rPr>
        <w:t>o have such a title established through the attached motion to the Faculty Senate after review and approval by the APC of the sponsoring units, the University Committee, and the Physical Sciences Divisional Committee.</w:t>
      </w:r>
    </w:p>
    <w:p w:rsidR="00355E16" w:rsidRDefault="00355E16">
      <w:pPr>
        <w:rPr>
          <w:rFonts w:ascii="BLHKFE+TimesNewRoman" w:hAnsi="BLHKFE+TimesNewRoman" w:cs="BLHKFE+TimesNewRoman"/>
          <w:color w:val="000000"/>
          <w:sz w:val="22"/>
          <w:szCs w:val="22"/>
        </w:rPr>
      </w:pPr>
      <w:r>
        <w:rPr>
          <w:rFonts w:ascii="BLHKFE+TimesNewRoman" w:hAnsi="BLHKFE+TimesNewRoman" w:cs="BLHKFE+TimesNewRoman"/>
          <w:sz w:val="22"/>
          <w:szCs w:val="22"/>
        </w:rPr>
        <w:br w:type="page"/>
      </w:r>
    </w:p>
    <w:p w:rsidR="00CE1F3E" w:rsidRPr="00B87F78" w:rsidRDefault="00536D63">
      <w:r w:rsidRPr="00B87F78">
        <w:lastRenderedPageBreak/>
        <w:t>Motion:</w:t>
      </w:r>
    </w:p>
    <w:p w:rsidR="00536D63" w:rsidRPr="00B87F78" w:rsidRDefault="00536D63" w:rsidP="00536D63">
      <w:pPr>
        <w:pStyle w:val="Default"/>
        <w:rPr>
          <w:rFonts w:ascii="Times New Roman" w:hAnsi="Times New Roman" w:cs="Times New Roman"/>
          <w:bCs/>
        </w:rPr>
      </w:pPr>
      <w:r w:rsidRPr="00B87F78">
        <w:rPr>
          <w:rFonts w:ascii="Times New Roman" w:hAnsi="Times New Roman" w:cs="Times New Roman"/>
        </w:rPr>
        <w:t xml:space="preserve">The Academic Planning Council of the College of Engineering moves that the Faculty Senate endorse the honorific title of </w:t>
      </w:r>
      <w:r w:rsidRPr="00B87F78">
        <w:rPr>
          <w:rFonts w:ascii="Times New Roman" w:hAnsi="Times New Roman" w:cs="Times New Roman"/>
          <w:b/>
          <w:i/>
        </w:rPr>
        <w:t>Professor of the Practice</w:t>
      </w:r>
      <w:r w:rsidRPr="00B87F78">
        <w:rPr>
          <w:rFonts w:ascii="Times New Roman" w:hAnsi="Times New Roman" w:cs="Times New Roman"/>
        </w:rPr>
        <w:t xml:space="preserve"> </w:t>
      </w:r>
      <w:r w:rsidRPr="00B87F78">
        <w:rPr>
          <w:rFonts w:ascii="Times New Roman" w:hAnsi="Times New Roman" w:cs="Times New Roman"/>
          <w:bCs/>
        </w:rPr>
        <w:t xml:space="preserve">to be used in addition to the regular budgeted titles of </w:t>
      </w:r>
    </w:p>
    <w:p w:rsidR="009F58CA" w:rsidRPr="00B87F78" w:rsidRDefault="009F58CA" w:rsidP="00536D63">
      <w:pPr>
        <w:pStyle w:val="Default"/>
        <w:rPr>
          <w:rFonts w:ascii="Times New Roman" w:hAnsi="Times New Roman" w:cs="Times New Roman"/>
        </w:rPr>
      </w:pPr>
    </w:p>
    <w:p w:rsidR="00536D63" w:rsidRPr="00B87F78" w:rsidRDefault="00536D63" w:rsidP="00536D63">
      <w:pPr>
        <w:pStyle w:val="Default"/>
        <w:ind w:left="720" w:right="6067"/>
        <w:rPr>
          <w:rFonts w:ascii="Times New Roman" w:hAnsi="Times New Roman" w:cs="Times New Roman"/>
          <w:b/>
          <w:bCs/>
        </w:rPr>
      </w:pPr>
      <w:r w:rsidRPr="00B87F78">
        <w:rPr>
          <w:rFonts w:ascii="Times New Roman" w:hAnsi="Times New Roman" w:cs="Times New Roman"/>
          <w:b/>
          <w:bCs/>
        </w:rPr>
        <w:t>Adjunct professor</w:t>
      </w:r>
    </w:p>
    <w:p w:rsidR="00536D63" w:rsidRPr="00B87F78" w:rsidRDefault="00536D63" w:rsidP="00536D63">
      <w:pPr>
        <w:pStyle w:val="Default"/>
        <w:ind w:left="720"/>
        <w:rPr>
          <w:rFonts w:ascii="Times New Roman" w:hAnsi="Times New Roman" w:cs="Times New Roman"/>
          <w:b/>
          <w:bCs/>
        </w:rPr>
      </w:pPr>
      <w:r w:rsidRPr="00B87F78">
        <w:rPr>
          <w:rFonts w:ascii="Times New Roman" w:hAnsi="Times New Roman" w:cs="Times New Roman"/>
          <w:b/>
          <w:bCs/>
        </w:rPr>
        <w:t xml:space="preserve">Associate research professor </w:t>
      </w:r>
    </w:p>
    <w:p w:rsidR="00536D63" w:rsidRPr="00B87F78" w:rsidRDefault="00536D63" w:rsidP="00536D63">
      <w:pPr>
        <w:pStyle w:val="Default"/>
        <w:ind w:left="720"/>
        <w:rPr>
          <w:rFonts w:ascii="Times New Roman" w:hAnsi="Times New Roman" w:cs="Times New Roman"/>
        </w:rPr>
      </w:pPr>
      <w:r w:rsidRPr="00B87F78">
        <w:rPr>
          <w:rFonts w:ascii="Times New Roman" w:hAnsi="Times New Roman" w:cs="Times New Roman"/>
          <w:b/>
          <w:bCs/>
        </w:rPr>
        <w:t xml:space="preserve">Research professor. </w:t>
      </w:r>
    </w:p>
    <w:p w:rsidR="00536D63" w:rsidRPr="00B87F78" w:rsidRDefault="00536D63" w:rsidP="00536D63">
      <w:pPr>
        <w:pStyle w:val="CM2"/>
        <w:spacing w:before="257" w:after="260"/>
        <w:rPr>
          <w:rFonts w:ascii="Times New Roman" w:hAnsi="Times New Roman"/>
          <w:color w:val="000000"/>
        </w:rPr>
      </w:pPr>
      <w:r w:rsidRPr="00B87F78">
        <w:rPr>
          <w:rFonts w:ascii="Times New Roman" w:hAnsi="Times New Roman"/>
          <w:color w:val="000000"/>
        </w:rPr>
        <w:t>The honorific working title</w:t>
      </w:r>
      <w:r w:rsidR="00E04D74">
        <w:rPr>
          <w:rFonts w:ascii="Times New Roman" w:hAnsi="Times New Roman"/>
          <w:color w:val="000000"/>
        </w:rPr>
        <w:t xml:space="preserve">, </w:t>
      </w:r>
      <w:r w:rsidR="00E04D74" w:rsidRPr="00B87F78">
        <w:rPr>
          <w:rFonts w:ascii="Times New Roman" w:hAnsi="Times New Roman"/>
          <w:b/>
          <w:i/>
        </w:rPr>
        <w:t>Professor of the Practice</w:t>
      </w:r>
      <w:r w:rsidR="00E04D74">
        <w:rPr>
          <w:rFonts w:ascii="Times New Roman" w:hAnsi="Times New Roman"/>
          <w:color w:val="000000"/>
        </w:rPr>
        <w:t>,</w:t>
      </w:r>
      <w:r w:rsidRPr="00B87F78">
        <w:rPr>
          <w:rFonts w:ascii="Times New Roman" w:hAnsi="Times New Roman"/>
          <w:color w:val="000000"/>
        </w:rPr>
        <w:t xml:space="preserve"> could be awarded to outstanding members of the engineering </w:t>
      </w:r>
      <w:r w:rsidR="009F58CA" w:rsidRPr="00B87F78">
        <w:rPr>
          <w:rFonts w:ascii="Times New Roman" w:hAnsi="Times New Roman"/>
          <w:color w:val="000000"/>
        </w:rPr>
        <w:t xml:space="preserve">or scientific </w:t>
      </w:r>
      <w:r w:rsidRPr="00B87F78">
        <w:rPr>
          <w:rFonts w:ascii="Times New Roman" w:hAnsi="Times New Roman"/>
          <w:color w:val="000000"/>
        </w:rPr>
        <w:t>communit</w:t>
      </w:r>
      <w:r w:rsidR="009F58CA" w:rsidRPr="00B87F78">
        <w:rPr>
          <w:rFonts w:ascii="Times New Roman" w:hAnsi="Times New Roman"/>
          <w:color w:val="000000"/>
        </w:rPr>
        <w:t xml:space="preserve">ies </w:t>
      </w:r>
      <w:r w:rsidRPr="00B87F78">
        <w:rPr>
          <w:rFonts w:ascii="Times New Roman" w:hAnsi="Times New Roman"/>
          <w:color w:val="000000"/>
        </w:rPr>
        <w:t>with terminal graduate degrees in engineering or the sciences. This title would be limited to those members of the engineering community actively engaged in the educational or research mission of a college without</w:t>
      </w:r>
      <w:r w:rsidR="000F70B6">
        <w:rPr>
          <w:rFonts w:ascii="Times New Roman" w:hAnsi="Times New Roman"/>
          <w:color w:val="000000"/>
        </w:rPr>
        <w:t xml:space="preserve"> GPR</w:t>
      </w:r>
      <w:r w:rsidRPr="00B87F78">
        <w:rPr>
          <w:rFonts w:ascii="Times New Roman" w:hAnsi="Times New Roman"/>
          <w:color w:val="000000"/>
        </w:rPr>
        <w:t xml:space="preserve"> financial compensation. These titles are awarded only to truly meritorious individuals and require the positive recommendation of the executive committee of the department in which the staff member is employed and the relevant academic planning council (APC). The basis for awarding the </w:t>
      </w:r>
      <w:r w:rsidR="00E04D74" w:rsidRPr="00B87F78">
        <w:rPr>
          <w:rFonts w:ascii="Times New Roman" w:hAnsi="Times New Roman"/>
          <w:b/>
          <w:i/>
        </w:rPr>
        <w:t>Professor of the Practice</w:t>
      </w:r>
      <w:r w:rsidRPr="00B87F78">
        <w:rPr>
          <w:rFonts w:ascii="Times New Roman" w:hAnsi="Times New Roman"/>
          <w:color w:val="000000"/>
        </w:rPr>
        <w:t xml:space="preserve"> title shall be the criteria and documentation identified below. </w:t>
      </w:r>
    </w:p>
    <w:p w:rsidR="00536D63" w:rsidRPr="00B87F78" w:rsidRDefault="00536D63" w:rsidP="00536D63">
      <w:pPr>
        <w:pStyle w:val="Default"/>
        <w:spacing w:before="247" w:after="205"/>
        <w:rPr>
          <w:rFonts w:ascii="Times New Roman" w:hAnsi="Times New Roman" w:cs="Times New Roman"/>
        </w:rPr>
      </w:pPr>
      <w:r w:rsidRPr="00B87F78">
        <w:rPr>
          <w:rFonts w:ascii="Times New Roman" w:hAnsi="Times New Roman" w:cs="Times New Roman"/>
        </w:rPr>
        <w:t xml:space="preserve">A department or APC recommendation is forwarded to the dean of the school or college. Upon approval by the dean, the recommendation is forwarded to a committee appointed by the University Committee consisting of eight faculty members, two from each faculty division. This committee reviews the dossier to determine whether it meets the criteria for bestowing the title. If the committee approves the dossier, it recommends that the provost grant the proposed working title. </w:t>
      </w:r>
    </w:p>
    <w:p w:rsidR="00536D63" w:rsidRPr="00B87F78" w:rsidRDefault="00536D63" w:rsidP="00536D63">
      <w:pPr>
        <w:pStyle w:val="Default"/>
        <w:spacing w:before="247" w:after="205"/>
        <w:rPr>
          <w:rFonts w:ascii="Times New Roman" w:hAnsi="Times New Roman" w:cs="Times New Roman"/>
        </w:rPr>
      </w:pPr>
      <w:r w:rsidRPr="00B87F78">
        <w:rPr>
          <w:rFonts w:ascii="Times New Roman" w:hAnsi="Times New Roman" w:cs="Times New Roman"/>
          <w:b/>
          <w:bCs/>
        </w:rPr>
        <w:t xml:space="preserve">Criteria and Documentation for Bestowing </w:t>
      </w:r>
      <w:r w:rsidR="00E04D74">
        <w:rPr>
          <w:rFonts w:ascii="Times New Roman" w:hAnsi="Times New Roman" w:cs="Times New Roman"/>
          <w:b/>
          <w:bCs/>
        </w:rPr>
        <w:t xml:space="preserve">the </w:t>
      </w:r>
      <w:r w:rsidR="00E04D74" w:rsidRPr="00B87F78">
        <w:rPr>
          <w:rFonts w:ascii="Times New Roman" w:hAnsi="Times New Roman" w:cs="Times New Roman"/>
          <w:b/>
          <w:i/>
        </w:rPr>
        <w:t>Professor of the Practice</w:t>
      </w:r>
      <w:r w:rsidRPr="00B87F78">
        <w:rPr>
          <w:rFonts w:ascii="Times New Roman" w:hAnsi="Times New Roman" w:cs="Times New Roman"/>
          <w:b/>
          <w:bCs/>
        </w:rPr>
        <w:t xml:space="preserve"> Title </w:t>
      </w:r>
    </w:p>
    <w:p w:rsidR="00536D63" w:rsidRPr="00B87F78" w:rsidRDefault="00536D63" w:rsidP="00536D63">
      <w:pPr>
        <w:pStyle w:val="Default"/>
        <w:spacing w:before="205" w:after="237"/>
        <w:rPr>
          <w:rFonts w:ascii="Times New Roman" w:hAnsi="Times New Roman" w:cs="Times New Roman"/>
        </w:rPr>
      </w:pPr>
      <w:r w:rsidRPr="00B87F78">
        <w:rPr>
          <w:rFonts w:ascii="Times New Roman" w:hAnsi="Times New Roman" w:cs="Times New Roman"/>
        </w:rPr>
        <w:t xml:space="preserve">Criteria: </w:t>
      </w:r>
    </w:p>
    <w:p w:rsidR="00536D63" w:rsidRPr="00B87F78" w:rsidRDefault="00536D63" w:rsidP="00536D63">
      <w:pPr>
        <w:pStyle w:val="CM3"/>
        <w:spacing w:before="237" w:after="237"/>
        <w:rPr>
          <w:rFonts w:ascii="Times New Roman" w:hAnsi="Times New Roman"/>
          <w:color w:val="000000"/>
        </w:rPr>
      </w:pPr>
      <w:r w:rsidRPr="00B87F78">
        <w:rPr>
          <w:rFonts w:ascii="Times New Roman" w:hAnsi="Times New Roman"/>
          <w:color w:val="000000"/>
        </w:rPr>
        <w:t xml:space="preserve">(1) </w:t>
      </w:r>
      <w:proofErr w:type="gramStart"/>
      <w:r w:rsidRPr="00B87F78">
        <w:rPr>
          <w:rFonts w:ascii="Times New Roman" w:hAnsi="Times New Roman"/>
          <w:color w:val="000000"/>
        </w:rPr>
        <w:t>excellent</w:t>
      </w:r>
      <w:proofErr w:type="gramEnd"/>
      <w:r w:rsidRPr="00B87F78">
        <w:rPr>
          <w:rFonts w:ascii="Times New Roman" w:hAnsi="Times New Roman"/>
          <w:color w:val="000000"/>
        </w:rPr>
        <w:t xml:space="preserve"> research that makes an original contribution to knowledge and culture;</w:t>
      </w:r>
      <w:r w:rsidR="000F70B6">
        <w:rPr>
          <w:rFonts w:ascii="Times New Roman" w:hAnsi="Times New Roman"/>
          <w:color w:val="000000"/>
        </w:rPr>
        <w:t xml:space="preserve"> </w:t>
      </w:r>
      <w:r w:rsidRPr="00B87F78">
        <w:rPr>
          <w:rFonts w:ascii="Times New Roman" w:hAnsi="Times New Roman"/>
          <w:color w:val="000000"/>
        </w:rPr>
        <w:t>(2) substantial productivity as compared to national or international peers;</w:t>
      </w:r>
      <w:r w:rsidR="000F70B6">
        <w:rPr>
          <w:rFonts w:ascii="Times New Roman" w:hAnsi="Times New Roman"/>
          <w:color w:val="000000"/>
        </w:rPr>
        <w:t xml:space="preserve"> </w:t>
      </w:r>
      <w:r w:rsidRPr="00B87F78">
        <w:rPr>
          <w:rFonts w:ascii="Times New Roman" w:hAnsi="Times New Roman"/>
          <w:color w:val="000000"/>
        </w:rPr>
        <w:t>(3) significant recognition outside the university and the state;</w:t>
      </w:r>
      <w:bookmarkStart w:id="0" w:name="_GoBack"/>
      <w:r w:rsidR="000F70B6">
        <w:rPr>
          <w:rFonts w:ascii="Times New Roman" w:hAnsi="Times New Roman"/>
          <w:color w:val="000000"/>
        </w:rPr>
        <w:t xml:space="preserve"> </w:t>
      </w:r>
      <w:bookmarkEnd w:id="0"/>
      <w:r w:rsidRPr="00B87F78">
        <w:rPr>
          <w:rFonts w:ascii="Times New Roman" w:hAnsi="Times New Roman"/>
          <w:color w:val="000000"/>
        </w:rPr>
        <w:t>(4) high expectation of continued excellence and productivity.</w:t>
      </w:r>
    </w:p>
    <w:p w:rsidR="00536D63" w:rsidRPr="00B87F78" w:rsidRDefault="00536D63" w:rsidP="00536D63">
      <w:pPr>
        <w:pStyle w:val="CM3"/>
        <w:spacing w:before="237" w:after="237"/>
        <w:rPr>
          <w:rFonts w:ascii="Times New Roman" w:hAnsi="Times New Roman"/>
          <w:color w:val="000000"/>
        </w:rPr>
      </w:pPr>
      <w:r w:rsidRPr="00B87F78">
        <w:rPr>
          <w:rFonts w:ascii="Times New Roman" w:hAnsi="Times New Roman"/>
          <w:color w:val="000000"/>
        </w:rPr>
        <w:t>Documentation includes (but is not limited to):</w:t>
      </w:r>
    </w:p>
    <w:p w:rsidR="00536D63" w:rsidRPr="00B87F78" w:rsidRDefault="00536D63" w:rsidP="009F58CA">
      <w:pPr>
        <w:pStyle w:val="CM3"/>
        <w:spacing w:before="237"/>
        <w:rPr>
          <w:rFonts w:ascii="Times New Roman" w:hAnsi="Times New Roman"/>
        </w:rPr>
      </w:pPr>
      <w:r w:rsidRPr="00B87F78">
        <w:rPr>
          <w:rFonts w:ascii="Times New Roman" w:hAnsi="Times New Roman"/>
          <w:color w:val="000000"/>
        </w:rPr>
        <w:t>(1) scholarly books, monographs, chapters, bulletins, media, videotapes, computer programs, technical reports, etc.,</w:t>
      </w:r>
      <w:r w:rsidR="009F58CA" w:rsidRPr="00B87F78">
        <w:rPr>
          <w:rFonts w:ascii="Times New Roman" w:hAnsi="Times New Roman"/>
          <w:color w:val="000000"/>
        </w:rPr>
        <w:t xml:space="preserve"> </w:t>
      </w:r>
      <w:r w:rsidRPr="00B87F78">
        <w:rPr>
          <w:rFonts w:ascii="Times New Roman" w:hAnsi="Times New Roman"/>
          <w:color w:val="000000"/>
        </w:rPr>
        <w:t xml:space="preserve">and articles published or accepted for publication in scholarly or professional journals; (2) outreach publications and exemplary materials; (3) reviews and other evaluations of the candidate's publications and manuscripts, and citation of the work; (4) research awards, grants, and proposals; (5) evaluations by authorities, especially those from other major universities, in the candidate's field of specialization; (6) papers read at professional meetings, invited lectures at other universities and learned societies, invitations to </w:t>
      </w:r>
      <w:r w:rsidRPr="00B87F78">
        <w:rPr>
          <w:rFonts w:ascii="Times New Roman" w:hAnsi="Times New Roman"/>
        </w:rPr>
        <w:t xml:space="preserve">participate in professional meetings, editorial positions with major professional journals, testimony before </w:t>
      </w:r>
    </w:p>
    <w:p w:rsidR="00536D63" w:rsidRPr="00B87F78" w:rsidRDefault="00536D63" w:rsidP="00536D63">
      <w:proofErr w:type="gramStart"/>
      <w:r w:rsidRPr="00B87F78">
        <w:t>governmental</w:t>
      </w:r>
      <w:proofErr w:type="gramEnd"/>
      <w:r w:rsidRPr="00B87F78">
        <w:t xml:space="preserve"> committees, and professional honors, awards and consultations; (7) patents or evidence of intellectual property.</w:t>
      </w:r>
    </w:p>
    <w:sectPr w:rsidR="00536D63" w:rsidRPr="00B87F78" w:rsidSect="00D37D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LHJOM+TimesNewRoman,Bold">
    <w:altName w:val="Times New Roman"/>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BLHKFE+TimesNewRoman">
    <w:altName w:val="Times New Roman"/>
    <w:panose1 w:val="00000000000000000000"/>
    <w:charset w:val="00"/>
    <w:family w:val="roman"/>
    <w:notTrueType/>
    <w:pitch w:val="default"/>
    <w:sig w:usb0="00000003" w:usb1="00000000" w:usb2="00000000" w:usb3="00000000" w:csb0="00000001" w:csb1="00000000"/>
  </w:font>
  <w:font w:name="BLHKJC+TimesNewRoman,Italic">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proofState w:spelling="clean" w:grammar="clean"/>
  <w:trackRevisions/>
  <w:defaultTabStop w:val="720"/>
  <w:characterSpacingControl w:val="doNotCompress"/>
  <w:compat/>
  <w:docVars>
    <w:docVar w:name="dgnword-docGUID" w:val="{BC442D17-326A-4B24-96E0-2E1CB6D7E39C}"/>
    <w:docVar w:name="dgnword-eventsink" w:val="45831376"/>
  </w:docVars>
  <w:rsids>
    <w:rsidRoot w:val="00536D63"/>
    <w:rsid w:val="0004525E"/>
    <w:rsid w:val="00052537"/>
    <w:rsid w:val="000F70B6"/>
    <w:rsid w:val="00241C1A"/>
    <w:rsid w:val="00355E16"/>
    <w:rsid w:val="003E48E9"/>
    <w:rsid w:val="00536D63"/>
    <w:rsid w:val="00654D8F"/>
    <w:rsid w:val="0081471F"/>
    <w:rsid w:val="008253A7"/>
    <w:rsid w:val="009F58CA"/>
    <w:rsid w:val="00A55658"/>
    <w:rsid w:val="00B00A2D"/>
    <w:rsid w:val="00B87F78"/>
    <w:rsid w:val="00CE1F3E"/>
    <w:rsid w:val="00CE2241"/>
    <w:rsid w:val="00D37DF4"/>
    <w:rsid w:val="00E04D74"/>
    <w:rsid w:val="00E226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6D63"/>
    <w:pPr>
      <w:autoSpaceDE w:val="0"/>
      <w:autoSpaceDN w:val="0"/>
      <w:adjustRightInd w:val="0"/>
      <w:spacing w:after="0" w:line="240" w:lineRule="auto"/>
    </w:pPr>
    <w:rPr>
      <w:rFonts w:ascii="BLHJOM+TimesNewRoman,Bold" w:hAnsi="BLHJOM+TimesNewRoman,Bold" w:cs="BLHJOM+TimesNewRoman,Bold"/>
      <w:color w:val="000000"/>
    </w:rPr>
  </w:style>
  <w:style w:type="paragraph" w:customStyle="1" w:styleId="CM2">
    <w:name w:val="CM2"/>
    <w:basedOn w:val="Default"/>
    <w:next w:val="Default"/>
    <w:uiPriority w:val="99"/>
    <w:rsid w:val="00536D63"/>
    <w:pPr>
      <w:spacing w:line="260" w:lineRule="atLeast"/>
    </w:pPr>
    <w:rPr>
      <w:rFonts w:cs="Times New Roman"/>
      <w:color w:val="auto"/>
    </w:rPr>
  </w:style>
  <w:style w:type="paragraph" w:customStyle="1" w:styleId="CM3">
    <w:name w:val="CM3"/>
    <w:basedOn w:val="Default"/>
    <w:next w:val="Default"/>
    <w:uiPriority w:val="99"/>
    <w:rsid w:val="00536D63"/>
    <w:pPr>
      <w:spacing w:line="238" w:lineRule="atLeast"/>
    </w:pPr>
    <w:rPr>
      <w:rFonts w:cs="Times New Roman"/>
      <w:color w:val="auto"/>
    </w:rPr>
  </w:style>
  <w:style w:type="paragraph" w:customStyle="1" w:styleId="CM4">
    <w:name w:val="CM4"/>
    <w:basedOn w:val="Default"/>
    <w:next w:val="Default"/>
    <w:uiPriority w:val="99"/>
    <w:rsid w:val="00536D63"/>
    <w:pPr>
      <w:spacing w:line="238" w:lineRule="atLeast"/>
    </w:pPr>
    <w:rPr>
      <w:rFonts w:cs="Times New Roman"/>
      <w:color w:val="auto"/>
    </w:rPr>
  </w:style>
  <w:style w:type="paragraph" w:styleId="BalloonText">
    <w:name w:val="Balloon Text"/>
    <w:basedOn w:val="Normal"/>
    <w:link w:val="BalloonTextChar"/>
    <w:uiPriority w:val="99"/>
    <w:semiHidden/>
    <w:unhideWhenUsed/>
    <w:rsid w:val="000F70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0B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6D63"/>
    <w:pPr>
      <w:autoSpaceDE w:val="0"/>
      <w:autoSpaceDN w:val="0"/>
      <w:adjustRightInd w:val="0"/>
      <w:spacing w:after="0" w:line="240" w:lineRule="auto"/>
    </w:pPr>
    <w:rPr>
      <w:rFonts w:ascii="BLHJOM+TimesNewRoman,Bold" w:hAnsi="BLHJOM+TimesNewRoman,Bold" w:cs="BLHJOM+TimesNewRoman,Bold"/>
      <w:color w:val="000000"/>
    </w:rPr>
  </w:style>
  <w:style w:type="paragraph" w:customStyle="1" w:styleId="CM2">
    <w:name w:val="CM2"/>
    <w:basedOn w:val="Default"/>
    <w:next w:val="Default"/>
    <w:uiPriority w:val="99"/>
    <w:rsid w:val="00536D63"/>
    <w:pPr>
      <w:spacing w:line="260" w:lineRule="atLeast"/>
    </w:pPr>
    <w:rPr>
      <w:rFonts w:cs="Times New Roman"/>
      <w:color w:val="auto"/>
    </w:rPr>
  </w:style>
  <w:style w:type="paragraph" w:customStyle="1" w:styleId="CM3">
    <w:name w:val="CM3"/>
    <w:basedOn w:val="Default"/>
    <w:next w:val="Default"/>
    <w:uiPriority w:val="99"/>
    <w:rsid w:val="00536D63"/>
    <w:pPr>
      <w:spacing w:line="238" w:lineRule="atLeast"/>
    </w:pPr>
    <w:rPr>
      <w:rFonts w:cs="Times New Roman"/>
      <w:color w:val="auto"/>
    </w:rPr>
  </w:style>
  <w:style w:type="paragraph" w:customStyle="1" w:styleId="CM4">
    <w:name w:val="CM4"/>
    <w:basedOn w:val="Default"/>
    <w:next w:val="Default"/>
    <w:uiPriority w:val="99"/>
    <w:rsid w:val="00536D63"/>
    <w:pPr>
      <w:spacing w:line="238" w:lineRule="atLeast"/>
    </w:pPr>
    <w:rPr>
      <w:rFonts w:cs="Times New Roman"/>
      <w:color w:val="auto"/>
    </w:rPr>
  </w:style>
  <w:style w:type="paragraph" w:styleId="BalloonText">
    <w:name w:val="Balloon Text"/>
    <w:basedOn w:val="Normal"/>
    <w:link w:val="BalloonTextChar"/>
    <w:uiPriority w:val="99"/>
    <w:semiHidden/>
    <w:unhideWhenUsed/>
    <w:rsid w:val="000F70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0B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Kuech</dc:creator>
  <cp:lastModifiedBy>Andrea Poehling</cp:lastModifiedBy>
  <cp:revision>2</cp:revision>
  <dcterms:created xsi:type="dcterms:W3CDTF">2013-09-09T15:08:00Z</dcterms:created>
  <dcterms:modified xsi:type="dcterms:W3CDTF">2013-09-09T15:08:00Z</dcterms:modified>
</cp:coreProperties>
</file>