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10" w:rsidRPr="009E0620" w:rsidRDefault="00016DE8" w:rsidP="001E0E25">
      <w:pPr>
        <w:jc w:val="center"/>
        <w:rPr>
          <w:rFonts w:ascii="Times New Roman" w:hAnsi="Times New Roman" w:cs="Times New Roman"/>
          <w:b/>
          <w:sz w:val="24"/>
          <w:szCs w:val="24"/>
        </w:rPr>
      </w:pPr>
      <w:bookmarkStart w:id="0" w:name="_GoBack"/>
      <w:bookmarkEnd w:id="0"/>
      <w:r w:rsidRPr="009E0620">
        <w:rPr>
          <w:rFonts w:ascii="Times New Roman" w:hAnsi="Times New Roman" w:cs="Times New Roman"/>
          <w:b/>
          <w:sz w:val="24"/>
          <w:szCs w:val="24"/>
        </w:rPr>
        <w:t xml:space="preserve">Information on </w:t>
      </w:r>
      <w:r w:rsidR="001E0E25" w:rsidRPr="009E0620">
        <w:rPr>
          <w:rFonts w:ascii="Times New Roman" w:hAnsi="Times New Roman" w:cs="Times New Roman"/>
          <w:b/>
          <w:sz w:val="24"/>
          <w:szCs w:val="24"/>
        </w:rPr>
        <w:t xml:space="preserve">UW-Madison </w:t>
      </w:r>
      <w:r w:rsidR="00B81DBD" w:rsidRPr="009E0620">
        <w:rPr>
          <w:rFonts w:ascii="Times New Roman" w:hAnsi="Times New Roman" w:cs="Times New Roman"/>
          <w:b/>
          <w:sz w:val="24"/>
          <w:szCs w:val="24"/>
        </w:rPr>
        <w:t xml:space="preserve">Program Revenue </w:t>
      </w:r>
      <w:r w:rsidR="001E0E25" w:rsidRPr="009E0620">
        <w:rPr>
          <w:rFonts w:ascii="Times New Roman" w:hAnsi="Times New Roman" w:cs="Times New Roman"/>
          <w:b/>
          <w:sz w:val="24"/>
          <w:szCs w:val="24"/>
        </w:rPr>
        <w:t>Fund Balances</w:t>
      </w:r>
    </w:p>
    <w:p w:rsidR="001E0E25" w:rsidRPr="009E0620" w:rsidRDefault="00B81DBD">
      <w:pPr>
        <w:rPr>
          <w:rFonts w:ascii="Times New Roman" w:hAnsi="Times New Roman" w:cs="Times New Roman"/>
        </w:rPr>
      </w:pPr>
      <w:r w:rsidRPr="009E0620">
        <w:rPr>
          <w:rFonts w:ascii="Times New Roman" w:hAnsi="Times New Roman" w:cs="Times New Roman"/>
          <w:u w:val="single"/>
        </w:rPr>
        <w:t>Highlights</w:t>
      </w:r>
      <w:r w:rsidR="001E0E25" w:rsidRPr="009E0620">
        <w:rPr>
          <w:rFonts w:ascii="Times New Roman" w:hAnsi="Times New Roman" w:cs="Times New Roman"/>
        </w:rPr>
        <w:t>:</w:t>
      </w:r>
    </w:p>
    <w:p w:rsidR="00470E24" w:rsidRPr="009E0620" w:rsidRDefault="001E0E25" w:rsidP="00470E24">
      <w:pPr>
        <w:pStyle w:val="ListParagraph"/>
        <w:numPr>
          <w:ilvl w:val="0"/>
          <w:numId w:val="2"/>
        </w:numPr>
        <w:rPr>
          <w:rFonts w:ascii="Times New Roman" w:hAnsi="Times New Roman" w:cs="Times New Roman"/>
        </w:rPr>
      </w:pPr>
      <w:r w:rsidRPr="009E0620">
        <w:rPr>
          <w:rFonts w:ascii="Times New Roman" w:hAnsi="Times New Roman" w:cs="Times New Roman"/>
          <w:b/>
        </w:rPr>
        <w:t>T</w:t>
      </w:r>
      <w:r w:rsidR="004E7C99" w:rsidRPr="009E0620">
        <w:rPr>
          <w:rFonts w:ascii="Times New Roman" w:hAnsi="Times New Roman" w:cs="Times New Roman"/>
          <w:b/>
        </w:rPr>
        <w:t>uition balance</w:t>
      </w:r>
      <w:r w:rsidRPr="009E0620">
        <w:rPr>
          <w:rFonts w:ascii="Times New Roman" w:hAnsi="Times New Roman" w:cs="Times New Roman"/>
          <w:b/>
        </w:rPr>
        <w:t xml:space="preserve">s </w:t>
      </w:r>
      <w:r w:rsidR="00B81DBD" w:rsidRPr="009E0620">
        <w:rPr>
          <w:rFonts w:ascii="Times New Roman" w:hAnsi="Times New Roman" w:cs="Times New Roman"/>
          <w:b/>
        </w:rPr>
        <w:t>carried over from prior fiscal year</w:t>
      </w:r>
      <w:r w:rsidR="004F249A">
        <w:rPr>
          <w:rFonts w:ascii="Times New Roman" w:hAnsi="Times New Roman" w:cs="Times New Roman"/>
          <w:b/>
        </w:rPr>
        <w:t>s</w:t>
      </w:r>
      <w:r w:rsidR="00B81DBD" w:rsidRPr="009E0620">
        <w:rPr>
          <w:rFonts w:ascii="Times New Roman" w:hAnsi="Times New Roman" w:cs="Times New Roman"/>
          <w:b/>
        </w:rPr>
        <w:t xml:space="preserve"> </w:t>
      </w:r>
      <w:r w:rsidRPr="009E0620">
        <w:rPr>
          <w:rFonts w:ascii="Times New Roman" w:hAnsi="Times New Roman" w:cs="Times New Roman"/>
          <w:b/>
        </w:rPr>
        <w:t>have been reduced</w:t>
      </w:r>
      <w:r w:rsidR="004E7C99" w:rsidRPr="009E0620">
        <w:rPr>
          <w:rFonts w:ascii="Times New Roman" w:hAnsi="Times New Roman" w:cs="Times New Roman"/>
          <w:b/>
        </w:rPr>
        <w:t xml:space="preserve"> </w:t>
      </w:r>
      <w:r w:rsidR="00B81DBD" w:rsidRPr="009E0620">
        <w:rPr>
          <w:rFonts w:ascii="Times New Roman" w:hAnsi="Times New Roman" w:cs="Times New Roman"/>
          <w:b/>
        </w:rPr>
        <w:t xml:space="preserve">by </w:t>
      </w:r>
      <w:r w:rsidR="003E4CBB">
        <w:rPr>
          <w:rFonts w:ascii="Times New Roman" w:hAnsi="Times New Roman" w:cs="Times New Roman"/>
          <w:b/>
        </w:rPr>
        <w:t>more than 50</w:t>
      </w:r>
      <w:r w:rsidR="00470E24" w:rsidRPr="009E0620">
        <w:rPr>
          <w:rFonts w:ascii="Times New Roman" w:hAnsi="Times New Roman" w:cs="Times New Roman"/>
          <w:b/>
        </w:rPr>
        <w:t>%</w:t>
      </w:r>
      <w:r w:rsidR="00470E24" w:rsidRPr="009E0620">
        <w:rPr>
          <w:rFonts w:ascii="Times New Roman" w:hAnsi="Times New Roman" w:cs="Times New Roman"/>
        </w:rPr>
        <w:t xml:space="preserve"> </w:t>
      </w:r>
      <w:r w:rsidR="00B81DBD" w:rsidRPr="009E0620">
        <w:rPr>
          <w:rFonts w:ascii="Times New Roman" w:hAnsi="Times New Roman" w:cs="Times New Roman"/>
        </w:rPr>
        <w:t xml:space="preserve">- from $143M in FY13 to </w:t>
      </w:r>
      <w:r w:rsidR="003E4CBB">
        <w:rPr>
          <w:rFonts w:ascii="Times New Roman" w:hAnsi="Times New Roman" w:cs="Times New Roman"/>
        </w:rPr>
        <w:t>$71.1M in FY15</w:t>
      </w:r>
      <w:r w:rsidR="00B81DBD" w:rsidRPr="009E0620">
        <w:rPr>
          <w:rFonts w:ascii="Times New Roman" w:hAnsi="Times New Roman" w:cs="Times New Roman"/>
        </w:rPr>
        <w:t>.</w:t>
      </w:r>
    </w:p>
    <w:p w:rsidR="004E7C99" w:rsidRPr="009E0620" w:rsidRDefault="00B81DBD" w:rsidP="00470E24">
      <w:pPr>
        <w:pStyle w:val="ListParagraph"/>
        <w:numPr>
          <w:ilvl w:val="1"/>
          <w:numId w:val="2"/>
        </w:numPr>
        <w:rPr>
          <w:rFonts w:ascii="Times New Roman" w:hAnsi="Times New Roman" w:cs="Times New Roman"/>
        </w:rPr>
      </w:pPr>
      <w:r w:rsidRPr="009E0620">
        <w:rPr>
          <w:rFonts w:ascii="Times New Roman" w:hAnsi="Times New Roman" w:cs="Times New Roman"/>
        </w:rPr>
        <w:t>T</w:t>
      </w:r>
      <w:r w:rsidR="00473160" w:rsidRPr="009E0620">
        <w:rPr>
          <w:rFonts w:ascii="Times New Roman" w:hAnsi="Times New Roman" w:cs="Times New Roman"/>
        </w:rPr>
        <w:t>his represents a</w:t>
      </w:r>
      <w:r w:rsidRPr="009E0620">
        <w:rPr>
          <w:rFonts w:ascii="Times New Roman" w:hAnsi="Times New Roman" w:cs="Times New Roman"/>
        </w:rPr>
        <w:t xml:space="preserve"> decrease from </w:t>
      </w:r>
      <w:r w:rsidR="00470E24" w:rsidRPr="009E0620">
        <w:rPr>
          <w:rFonts w:ascii="Times New Roman" w:hAnsi="Times New Roman" w:cs="Times New Roman"/>
        </w:rPr>
        <w:t xml:space="preserve">a </w:t>
      </w:r>
      <w:r w:rsidRPr="009E0620">
        <w:rPr>
          <w:rFonts w:ascii="Times New Roman" w:hAnsi="Times New Roman" w:cs="Times New Roman"/>
        </w:rPr>
        <w:t>1</w:t>
      </w:r>
      <w:r w:rsidR="006F7581">
        <w:rPr>
          <w:rFonts w:ascii="Times New Roman" w:hAnsi="Times New Roman" w:cs="Times New Roman"/>
        </w:rPr>
        <w:t>6</w:t>
      </w:r>
      <w:r w:rsidRPr="009E0620">
        <w:rPr>
          <w:rFonts w:ascii="Times New Roman" w:hAnsi="Times New Roman" w:cs="Times New Roman"/>
        </w:rPr>
        <w:t xml:space="preserve">% </w:t>
      </w:r>
      <w:r w:rsidR="00470E24" w:rsidRPr="009E0620">
        <w:rPr>
          <w:rFonts w:ascii="Times New Roman" w:hAnsi="Times New Roman" w:cs="Times New Roman"/>
        </w:rPr>
        <w:t xml:space="preserve">carryover </w:t>
      </w:r>
      <w:r w:rsidR="001E0E25" w:rsidRPr="009E0620">
        <w:rPr>
          <w:rFonts w:ascii="Times New Roman" w:hAnsi="Times New Roman" w:cs="Times New Roman"/>
        </w:rPr>
        <w:t xml:space="preserve">at the end of FY </w:t>
      </w:r>
      <w:r w:rsidR="004E7C99" w:rsidRPr="009E0620">
        <w:rPr>
          <w:rFonts w:ascii="Times New Roman" w:hAnsi="Times New Roman" w:cs="Times New Roman"/>
        </w:rPr>
        <w:t xml:space="preserve">2013 </w:t>
      </w:r>
      <w:r w:rsidR="00470E24" w:rsidRPr="009E0620">
        <w:rPr>
          <w:rFonts w:ascii="Times New Roman" w:hAnsi="Times New Roman" w:cs="Times New Roman"/>
        </w:rPr>
        <w:t>to</w:t>
      </w:r>
      <w:r w:rsidR="004E7C99" w:rsidRPr="009E0620">
        <w:rPr>
          <w:rFonts w:ascii="Times New Roman" w:hAnsi="Times New Roman" w:cs="Times New Roman"/>
        </w:rPr>
        <w:t xml:space="preserve"> </w:t>
      </w:r>
      <w:r w:rsidR="003E4CBB">
        <w:rPr>
          <w:rFonts w:ascii="Times New Roman" w:hAnsi="Times New Roman" w:cs="Times New Roman"/>
        </w:rPr>
        <w:t>7.3</w:t>
      </w:r>
      <w:r w:rsidR="00470E24" w:rsidRPr="009E0620">
        <w:rPr>
          <w:rFonts w:ascii="Times New Roman" w:hAnsi="Times New Roman" w:cs="Times New Roman"/>
        </w:rPr>
        <w:t>%</w:t>
      </w:r>
      <w:r w:rsidR="004E7C99" w:rsidRPr="009E0620">
        <w:rPr>
          <w:rFonts w:ascii="Times New Roman" w:hAnsi="Times New Roman" w:cs="Times New Roman"/>
        </w:rPr>
        <w:t xml:space="preserve"> at the end of </w:t>
      </w:r>
      <w:r w:rsidR="001E0E25" w:rsidRPr="009E0620">
        <w:rPr>
          <w:rFonts w:ascii="Times New Roman" w:hAnsi="Times New Roman" w:cs="Times New Roman"/>
        </w:rPr>
        <w:t xml:space="preserve">FY </w:t>
      </w:r>
      <w:r w:rsidR="00470E24" w:rsidRPr="009E0620">
        <w:rPr>
          <w:rFonts w:ascii="Times New Roman" w:hAnsi="Times New Roman" w:cs="Times New Roman"/>
        </w:rPr>
        <w:t>201</w:t>
      </w:r>
      <w:r w:rsidR="003E4CBB">
        <w:rPr>
          <w:rFonts w:ascii="Times New Roman" w:hAnsi="Times New Roman" w:cs="Times New Roman"/>
        </w:rPr>
        <w:t>5</w:t>
      </w:r>
      <w:r w:rsidR="00470E24" w:rsidRPr="009E0620">
        <w:rPr>
          <w:rFonts w:ascii="Times New Roman" w:hAnsi="Times New Roman" w:cs="Times New Roman"/>
        </w:rPr>
        <w:t xml:space="preserve">, </w:t>
      </w:r>
      <w:r w:rsidR="009E0225" w:rsidRPr="009E0620">
        <w:rPr>
          <w:rFonts w:ascii="Times New Roman" w:hAnsi="Times New Roman" w:cs="Times New Roman"/>
        </w:rPr>
        <w:t>well below the 12%</w:t>
      </w:r>
      <w:r w:rsidR="004E7C99" w:rsidRPr="009E0620">
        <w:rPr>
          <w:rFonts w:ascii="Times New Roman" w:hAnsi="Times New Roman" w:cs="Times New Roman"/>
        </w:rPr>
        <w:t xml:space="preserve"> threshold established by new Board of Regents and legislative policies.</w:t>
      </w:r>
    </w:p>
    <w:p w:rsidR="001E0E25" w:rsidRPr="009E0620" w:rsidRDefault="00470E24" w:rsidP="00470E24">
      <w:pPr>
        <w:pStyle w:val="ListParagraph"/>
        <w:numPr>
          <w:ilvl w:val="1"/>
          <w:numId w:val="2"/>
        </w:numPr>
        <w:rPr>
          <w:rFonts w:ascii="Times New Roman" w:hAnsi="Times New Roman" w:cs="Times New Roman"/>
        </w:rPr>
      </w:pPr>
      <w:r w:rsidRPr="009E0620">
        <w:rPr>
          <w:rFonts w:ascii="Times New Roman" w:hAnsi="Times New Roman" w:cs="Times New Roman"/>
        </w:rPr>
        <w:t>All but $</w:t>
      </w:r>
      <w:r w:rsidR="003E4CBB">
        <w:rPr>
          <w:rFonts w:ascii="Times New Roman" w:hAnsi="Times New Roman" w:cs="Times New Roman"/>
        </w:rPr>
        <w:t>3.8</w:t>
      </w:r>
      <w:r w:rsidRPr="009E0620">
        <w:rPr>
          <w:rFonts w:ascii="Times New Roman" w:hAnsi="Times New Roman" w:cs="Times New Roman"/>
        </w:rPr>
        <w:t xml:space="preserve">M </w:t>
      </w:r>
      <w:r w:rsidR="001E0E25" w:rsidRPr="009E0620">
        <w:rPr>
          <w:rFonts w:ascii="Times New Roman" w:hAnsi="Times New Roman" w:cs="Times New Roman"/>
        </w:rPr>
        <w:t xml:space="preserve">of </w:t>
      </w:r>
      <w:r w:rsidRPr="009E0620">
        <w:rPr>
          <w:rFonts w:ascii="Times New Roman" w:hAnsi="Times New Roman" w:cs="Times New Roman"/>
        </w:rPr>
        <w:t>the carryover from FY1</w:t>
      </w:r>
      <w:r w:rsidR="003E4CBB">
        <w:rPr>
          <w:rFonts w:ascii="Times New Roman" w:hAnsi="Times New Roman" w:cs="Times New Roman"/>
        </w:rPr>
        <w:t>5</w:t>
      </w:r>
      <w:r w:rsidR="001E0E25" w:rsidRPr="009E0620">
        <w:rPr>
          <w:rFonts w:ascii="Times New Roman" w:hAnsi="Times New Roman" w:cs="Times New Roman"/>
        </w:rPr>
        <w:t xml:space="preserve"> is already obligated or planned for various university pr</w:t>
      </w:r>
      <w:r w:rsidRPr="009E0620">
        <w:rPr>
          <w:rFonts w:ascii="Times New Roman" w:hAnsi="Times New Roman" w:cs="Times New Roman"/>
        </w:rPr>
        <w:t>ograms</w:t>
      </w:r>
      <w:r w:rsidRPr="009E0620">
        <w:rPr>
          <w:rFonts w:ascii="Times New Roman" w:hAnsi="Times New Roman" w:cs="Times New Roman"/>
          <w:b/>
        </w:rPr>
        <w:t>.</w:t>
      </w:r>
    </w:p>
    <w:p w:rsidR="001E0E25" w:rsidRPr="009E0620" w:rsidRDefault="001E0E25" w:rsidP="001E0E25">
      <w:pPr>
        <w:pStyle w:val="ListParagraph"/>
        <w:rPr>
          <w:rFonts w:ascii="Times New Roman" w:hAnsi="Times New Roman" w:cs="Times New Roman"/>
        </w:rPr>
      </w:pPr>
    </w:p>
    <w:p w:rsidR="006F3FFB" w:rsidRPr="009E0620" w:rsidRDefault="00470E24" w:rsidP="009032FD">
      <w:pPr>
        <w:pStyle w:val="ListParagraph"/>
        <w:numPr>
          <w:ilvl w:val="0"/>
          <w:numId w:val="1"/>
        </w:numPr>
        <w:rPr>
          <w:rFonts w:ascii="Times New Roman" w:hAnsi="Times New Roman" w:cs="Times New Roman"/>
        </w:rPr>
      </w:pPr>
      <w:r w:rsidRPr="009E0620">
        <w:rPr>
          <w:rFonts w:ascii="Times New Roman" w:hAnsi="Times New Roman" w:cs="Times New Roman"/>
          <w:b/>
        </w:rPr>
        <w:t xml:space="preserve">Overall PR balances have decreased by </w:t>
      </w:r>
      <w:r w:rsidR="006F7581">
        <w:rPr>
          <w:rFonts w:ascii="Times New Roman" w:hAnsi="Times New Roman" w:cs="Times New Roman"/>
          <w:b/>
        </w:rPr>
        <w:t>10</w:t>
      </w:r>
      <w:r w:rsidRPr="009E0620">
        <w:rPr>
          <w:rFonts w:ascii="Times New Roman" w:hAnsi="Times New Roman" w:cs="Times New Roman"/>
          <w:b/>
        </w:rPr>
        <w:t>%</w:t>
      </w:r>
      <w:r w:rsidR="00745CF5">
        <w:rPr>
          <w:rFonts w:ascii="Times New Roman" w:hAnsi="Times New Roman" w:cs="Times New Roman"/>
          <w:b/>
        </w:rPr>
        <w:t xml:space="preserve"> over the same period</w:t>
      </w:r>
      <w:r w:rsidR="006F3FFB" w:rsidRPr="009E0620">
        <w:rPr>
          <w:rFonts w:ascii="Times New Roman" w:hAnsi="Times New Roman" w:cs="Times New Roman"/>
        </w:rPr>
        <w:t>.</w:t>
      </w:r>
    </w:p>
    <w:p w:rsidR="006F3FFB" w:rsidRPr="009E0620" w:rsidRDefault="006F2ED3" w:rsidP="006F2ED3">
      <w:pPr>
        <w:pStyle w:val="ListParagraph"/>
        <w:numPr>
          <w:ilvl w:val="1"/>
          <w:numId w:val="1"/>
        </w:numPr>
        <w:rPr>
          <w:rFonts w:ascii="Times New Roman" w:hAnsi="Times New Roman" w:cs="Times New Roman"/>
        </w:rPr>
      </w:pPr>
      <w:r w:rsidRPr="009E0620">
        <w:rPr>
          <w:rFonts w:ascii="Times New Roman" w:hAnsi="Times New Roman" w:cs="Times New Roman"/>
        </w:rPr>
        <w:t>81% of carryover balances are obligated or planned for expenses the campus will incur in FY1</w:t>
      </w:r>
      <w:r w:rsidR="006560BC">
        <w:rPr>
          <w:rFonts w:ascii="Times New Roman" w:hAnsi="Times New Roman" w:cs="Times New Roman"/>
        </w:rPr>
        <w:t>6</w:t>
      </w:r>
      <w:r w:rsidRPr="009E0620">
        <w:rPr>
          <w:rFonts w:ascii="Times New Roman" w:hAnsi="Times New Roman" w:cs="Times New Roman"/>
        </w:rPr>
        <w:t>.</w:t>
      </w:r>
      <w:r w:rsidR="00473160" w:rsidRPr="009E0620">
        <w:rPr>
          <w:rFonts w:ascii="Times New Roman" w:hAnsi="Times New Roman" w:cs="Times New Roman"/>
        </w:rPr>
        <w:t xml:space="preserve">  Another 4.</w:t>
      </w:r>
      <w:r w:rsidR="006560BC">
        <w:rPr>
          <w:rFonts w:ascii="Times New Roman" w:hAnsi="Times New Roman" w:cs="Times New Roman"/>
        </w:rPr>
        <w:t>8</w:t>
      </w:r>
      <w:r w:rsidR="00473160" w:rsidRPr="009E0620">
        <w:rPr>
          <w:rFonts w:ascii="Times New Roman" w:hAnsi="Times New Roman" w:cs="Times New Roman"/>
        </w:rPr>
        <w:t xml:space="preserve">% has been designated for </w:t>
      </w:r>
      <w:r w:rsidR="009E0620">
        <w:rPr>
          <w:rFonts w:ascii="Times New Roman" w:hAnsi="Times New Roman" w:cs="Times New Roman"/>
        </w:rPr>
        <w:t>specific</w:t>
      </w:r>
      <w:r w:rsidR="00473160" w:rsidRPr="009E0620">
        <w:rPr>
          <w:rFonts w:ascii="Times New Roman" w:hAnsi="Times New Roman" w:cs="Times New Roman"/>
        </w:rPr>
        <w:t xml:space="preserve"> uses.</w:t>
      </w:r>
    </w:p>
    <w:p w:rsidR="00470E24" w:rsidRPr="009E0620" w:rsidRDefault="009E0225" w:rsidP="00016DE8">
      <w:pPr>
        <w:pStyle w:val="ListParagraph"/>
        <w:numPr>
          <w:ilvl w:val="1"/>
          <w:numId w:val="1"/>
        </w:numPr>
        <w:rPr>
          <w:rFonts w:ascii="Times New Roman" w:hAnsi="Times New Roman" w:cs="Times New Roman"/>
        </w:rPr>
      </w:pPr>
      <w:r w:rsidRPr="009E0620">
        <w:rPr>
          <w:rFonts w:ascii="Times New Roman" w:hAnsi="Times New Roman" w:cs="Times New Roman"/>
        </w:rPr>
        <w:t>Of the</w:t>
      </w:r>
      <w:r w:rsidR="009E0620" w:rsidRPr="009E0620">
        <w:rPr>
          <w:rFonts w:ascii="Times New Roman" w:hAnsi="Times New Roman" w:cs="Times New Roman"/>
        </w:rPr>
        <w:t xml:space="preserve"> $5</w:t>
      </w:r>
      <w:r w:rsidR="001F48AF">
        <w:rPr>
          <w:rFonts w:ascii="Times New Roman" w:hAnsi="Times New Roman" w:cs="Times New Roman"/>
        </w:rPr>
        <w:t>2.2</w:t>
      </w:r>
      <w:r w:rsidR="009E0620" w:rsidRPr="009E0620">
        <w:rPr>
          <w:rFonts w:ascii="Times New Roman" w:hAnsi="Times New Roman" w:cs="Times New Roman"/>
        </w:rPr>
        <w:t>M among ALL</w:t>
      </w:r>
      <w:r w:rsidR="00016DE8" w:rsidRPr="009E0620">
        <w:rPr>
          <w:rFonts w:ascii="Times New Roman" w:hAnsi="Times New Roman" w:cs="Times New Roman"/>
        </w:rPr>
        <w:t xml:space="preserve"> funds </w:t>
      </w:r>
      <w:r w:rsidRPr="009E0620">
        <w:rPr>
          <w:rFonts w:ascii="Times New Roman" w:hAnsi="Times New Roman" w:cs="Times New Roman"/>
        </w:rPr>
        <w:t xml:space="preserve">classified </w:t>
      </w:r>
      <w:r w:rsidR="009E0620" w:rsidRPr="009E0620">
        <w:rPr>
          <w:rFonts w:ascii="Times New Roman" w:hAnsi="Times New Roman" w:cs="Times New Roman"/>
        </w:rPr>
        <w:t xml:space="preserve">as reserves, </w:t>
      </w:r>
      <w:r w:rsidR="001F48AF">
        <w:rPr>
          <w:rFonts w:ascii="Times New Roman" w:hAnsi="Times New Roman" w:cs="Times New Roman"/>
        </w:rPr>
        <w:t>93</w:t>
      </w:r>
      <w:r w:rsidR="009E0620" w:rsidRPr="009E0620">
        <w:rPr>
          <w:rFonts w:ascii="Times New Roman" w:hAnsi="Times New Roman" w:cs="Times New Roman"/>
        </w:rPr>
        <w:t xml:space="preserve">% are federal dollars </w:t>
      </w:r>
      <w:r w:rsidR="007C1DC5">
        <w:rPr>
          <w:rFonts w:ascii="Times New Roman" w:hAnsi="Times New Roman" w:cs="Times New Roman"/>
        </w:rPr>
        <w:t>essential to the research enterprise, especially at a time when federal research funding is declining</w:t>
      </w:r>
      <w:r w:rsidRPr="009E0620">
        <w:rPr>
          <w:rFonts w:ascii="Times New Roman" w:hAnsi="Times New Roman" w:cs="Times New Roman"/>
        </w:rPr>
        <w:t>.</w:t>
      </w:r>
      <w:r w:rsidR="008D0B20">
        <w:rPr>
          <w:rFonts w:ascii="Times New Roman" w:hAnsi="Times New Roman" w:cs="Times New Roman"/>
        </w:rPr>
        <w:t xml:space="preserve"> Only $</w:t>
      </w:r>
      <w:r w:rsidR="001F48AF">
        <w:rPr>
          <w:rFonts w:ascii="Times New Roman" w:hAnsi="Times New Roman" w:cs="Times New Roman"/>
        </w:rPr>
        <w:t>3.8</w:t>
      </w:r>
      <w:r w:rsidR="009E0620" w:rsidRPr="009E0620">
        <w:rPr>
          <w:rFonts w:ascii="Times New Roman" w:hAnsi="Times New Roman" w:cs="Times New Roman"/>
        </w:rPr>
        <w:t>M is available for other uses.</w:t>
      </w:r>
    </w:p>
    <w:p w:rsidR="009E0225" w:rsidRPr="009E0620" w:rsidRDefault="009E0225" w:rsidP="009E0225">
      <w:pPr>
        <w:pStyle w:val="ListParagraph"/>
        <w:numPr>
          <w:ilvl w:val="1"/>
          <w:numId w:val="1"/>
        </w:numPr>
        <w:rPr>
          <w:rFonts w:ascii="Times New Roman" w:hAnsi="Times New Roman" w:cs="Times New Roman"/>
        </w:rPr>
      </w:pPr>
      <w:r w:rsidRPr="009E0620">
        <w:rPr>
          <w:rFonts w:ascii="Times New Roman" w:hAnsi="Times New Roman" w:cs="Times New Roman"/>
        </w:rPr>
        <w:t>Our balances are well below those of peer institutions, including Big 10 peers.</w:t>
      </w:r>
    </w:p>
    <w:p w:rsidR="009E0225" w:rsidRPr="009E0620" w:rsidRDefault="00016DE8" w:rsidP="009E0225">
      <w:pPr>
        <w:pStyle w:val="ListParagraph"/>
        <w:numPr>
          <w:ilvl w:val="1"/>
          <w:numId w:val="1"/>
        </w:numPr>
        <w:rPr>
          <w:rFonts w:ascii="Times New Roman" w:hAnsi="Times New Roman" w:cs="Times New Roman"/>
        </w:rPr>
      </w:pPr>
      <w:r w:rsidRPr="009E0620">
        <w:rPr>
          <w:rFonts w:ascii="Times New Roman" w:hAnsi="Times New Roman" w:cs="Times New Roman"/>
        </w:rPr>
        <w:t>There are no state tax dollars in any of these funds.</w:t>
      </w:r>
    </w:p>
    <w:p w:rsidR="00470E24" w:rsidRPr="009E0620" w:rsidRDefault="00470E24" w:rsidP="00470E24">
      <w:pPr>
        <w:pStyle w:val="ListParagraph"/>
        <w:rPr>
          <w:rFonts w:ascii="Times New Roman" w:hAnsi="Times New Roman" w:cs="Times New Roman"/>
        </w:rPr>
      </w:pPr>
    </w:p>
    <w:p w:rsidR="009032FD" w:rsidRPr="009E0620" w:rsidRDefault="001E0E25" w:rsidP="00016DE8">
      <w:pPr>
        <w:pStyle w:val="ListParagraph"/>
        <w:numPr>
          <w:ilvl w:val="0"/>
          <w:numId w:val="1"/>
        </w:numPr>
        <w:rPr>
          <w:rFonts w:ascii="Times New Roman" w:hAnsi="Times New Roman" w:cs="Times New Roman"/>
        </w:rPr>
      </w:pPr>
      <w:r w:rsidRPr="009E0620">
        <w:rPr>
          <w:rFonts w:ascii="Times New Roman" w:hAnsi="Times New Roman" w:cs="Times New Roman"/>
          <w:b/>
        </w:rPr>
        <w:t>The campus has instituted a new system of quarterly reporting of balances</w:t>
      </w:r>
      <w:r w:rsidRPr="009E0620">
        <w:rPr>
          <w:rFonts w:ascii="Times New Roman" w:hAnsi="Times New Roman" w:cs="Times New Roman"/>
        </w:rPr>
        <w:t xml:space="preserve"> – the only campus in the UW System with such a reporting method. Campus units are reporting balances in a number of categories, including tuition, general operations and auxiliary operations so that we can monitor balances and make adjustments on a real time basis.</w:t>
      </w:r>
    </w:p>
    <w:p w:rsidR="009032FD" w:rsidRPr="009E0620" w:rsidRDefault="00C5428A" w:rsidP="009032FD">
      <w:pPr>
        <w:pStyle w:val="ListParagraph"/>
        <w:numPr>
          <w:ilvl w:val="1"/>
          <w:numId w:val="1"/>
        </w:numPr>
        <w:rPr>
          <w:rFonts w:ascii="Times New Roman" w:hAnsi="Times New Roman" w:cs="Times New Roman"/>
        </w:rPr>
      </w:pPr>
      <w:r w:rsidRPr="009E0620">
        <w:rPr>
          <w:rFonts w:ascii="Times New Roman" w:hAnsi="Times New Roman" w:cs="Times New Roman"/>
        </w:rPr>
        <w:t>If we exceed balances of 12% in</w:t>
      </w:r>
      <w:r w:rsidR="00016DE8" w:rsidRPr="009E0620">
        <w:rPr>
          <w:rFonts w:ascii="Times New Roman" w:hAnsi="Times New Roman" w:cs="Times New Roman"/>
        </w:rPr>
        <w:t xml:space="preserve"> any of these areas, we will </w:t>
      </w:r>
      <w:r w:rsidRPr="009E0620">
        <w:rPr>
          <w:rFonts w:ascii="Times New Roman" w:hAnsi="Times New Roman" w:cs="Times New Roman"/>
        </w:rPr>
        <w:t>provide detailed explanations of how we intend to use these funds.</w:t>
      </w:r>
    </w:p>
    <w:p w:rsidR="009032FD" w:rsidRPr="006F3FFB" w:rsidRDefault="006F3FFB" w:rsidP="006F3FFB">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815840" cy="3040380"/>
            <wp:effectExtent l="0" t="0" r="2286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24FCB" w:rsidRPr="009E0620" w:rsidRDefault="006F3FFB" w:rsidP="009032FD">
      <w:pPr>
        <w:rPr>
          <w:rFonts w:ascii="Times New Roman" w:hAnsi="Times New Roman" w:cs="Times New Roman"/>
        </w:rPr>
      </w:pPr>
      <w:r>
        <w:rPr>
          <w:rFonts w:ascii="Times New Roman" w:hAnsi="Times New Roman" w:cs="Times New Roman"/>
          <w:sz w:val="24"/>
          <w:szCs w:val="24"/>
        </w:rPr>
        <w:br w:type="page"/>
      </w:r>
      <w:r w:rsidR="009032FD" w:rsidRPr="009E0620">
        <w:rPr>
          <w:rFonts w:ascii="Times New Roman" w:hAnsi="Times New Roman" w:cs="Times New Roman"/>
          <w:u w:val="single"/>
        </w:rPr>
        <w:lastRenderedPageBreak/>
        <w:t>Detailed Information by Fund Type</w:t>
      </w:r>
      <w:r w:rsidR="009032FD" w:rsidRPr="009E0620">
        <w:rPr>
          <w:rFonts w:ascii="Times New Roman" w:hAnsi="Times New Roman" w:cs="Times New Roman"/>
        </w:rPr>
        <w:t>:</w:t>
      </w:r>
    </w:p>
    <w:p w:rsidR="009032FD" w:rsidRPr="009E0620" w:rsidRDefault="009032FD" w:rsidP="009032FD">
      <w:pPr>
        <w:pStyle w:val="ListParagraph"/>
        <w:numPr>
          <w:ilvl w:val="0"/>
          <w:numId w:val="2"/>
        </w:numPr>
        <w:rPr>
          <w:rFonts w:ascii="Times New Roman" w:hAnsi="Times New Roman" w:cs="Times New Roman"/>
        </w:rPr>
      </w:pPr>
      <w:r w:rsidRPr="009E0620">
        <w:rPr>
          <w:rFonts w:ascii="Times New Roman" w:hAnsi="Times New Roman" w:cs="Times New Roman"/>
        </w:rPr>
        <w:t>Tuition</w:t>
      </w:r>
    </w:p>
    <w:p w:rsidR="009032FD" w:rsidRPr="009E0620" w:rsidRDefault="00963B8D" w:rsidP="009032FD">
      <w:pPr>
        <w:pStyle w:val="ListParagraph"/>
        <w:numPr>
          <w:ilvl w:val="1"/>
          <w:numId w:val="2"/>
        </w:numPr>
        <w:rPr>
          <w:rFonts w:ascii="Times New Roman" w:hAnsi="Times New Roman" w:cs="Times New Roman"/>
        </w:rPr>
      </w:pPr>
      <w:r w:rsidRPr="009E0620">
        <w:rPr>
          <w:rFonts w:ascii="Times New Roman" w:hAnsi="Times New Roman" w:cs="Times New Roman"/>
        </w:rPr>
        <w:t>The t</w:t>
      </w:r>
      <w:r w:rsidR="008D0B20">
        <w:rPr>
          <w:rFonts w:ascii="Times New Roman" w:hAnsi="Times New Roman" w:cs="Times New Roman"/>
        </w:rPr>
        <w:t>uition balance</w:t>
      </w:r>
      <w:r w:rsidR="009032FD" w:rsidRPr="009E0620">
        <w:rPr>
          <w:rFonts w:ascii="Times New Roman" w:hAnsi="Times New Roman" w:cs="Times New Roman"/>
        </w:rPr>
        <w:t xml:space="preserve"> </w:t>
      </w:r>
      <w:r w:rsidRPr="009E0620">
        <w:rPr>
          <w:rFonts w:ascii="Times New Roman" w:hAnsi="Times New Roman" w:cs="Times New Roman"/>
        </w:rPr>
        <w:t xml:space="preserve">was reduced </w:t>
      </w:r>
      <w:r w:rsidR="009032FD" w:rsidRPr="009E0620">
        <w:rPr>
          <w:rFonts w:ascii="Times New Roman" w:hAnsi="Times New Roman" w:cs="Times New Roman"/>
        </w:rPr>
        <w:t>from $143M in FY13 to $</w:t>
      </w:r>
      <w:r w:rsidR="00E61C35">
        <w:rPr>
          <w:rFonts w:ascii="Times New Roman" w:hAnsi="Times New Roman" w:cs="Times New Roman"/>
        </w:rPr>
        <w:t>71.1</w:t>
      </w:r>
      <w:r w:rsidR="009032FD" w:rsidRPr="009E0620">
        <w:rPr>
          <w:rFonts w:ascii="Times New Roman" w:hAnsi="Times New Roman" w:cs="Times New Roman"/>
        </w:rPr>
        <w:t>M in FY 1</w:t>
      </w:r>
      <w:r w:rsidR="00E61C35">
        <w:rPr>
          <w:rFonts w:ascii="Times New Roman" w:hAnsi="Times New Roman" w:cs="Times New Roman"/>
        </w:rPr>
        <w:t>5</w:t>
      </w:r>
      <w:r w:rsidR="009032FD" w:rsidRPr="009E0620">
        <w:rPr>
          <w:rFonts w:ascii="Times New Roman" w:hAnsi="Times New Roman" w:cs="Times New Roman"/>
        </w:rPr>
        <w:t xml:space="preserve"> – a decrease of $</w:t>
      </w:r>
      <w:r w:rsidR="00E61C35">
        <w:rPr>
          <w:rFonts w:ascii="Times New Roman" w:hAnsi="Times New Roman" w:cs="Times New Roman"/>
        </w:rPr>
        <w:t>71.9</w:t>
      </w:r>
      <w:r w:rsidR="009032FD" w:rsidRPr="009E0620">
        <w:rPr>
          <w:rFonts w:ascii="Times New Roman" w:hAnsi="Times New Roman" w:cs="Times New Roman"/>
        </w:rPr>
        <w:t>M.</w:t>
      </w:r>
      <w:r w:rsidR="008D0B20">
        <w:rPr>
          <w:rFonts w:ascii="Times New Roman" w:hAnsi="Times New Roman" w:cs="Times New Roman"/>
        </w:rPr>
        <w:t xml:space="preserve">  T</w:t>
      </w:r>
      <w:r w:rsidR="00EA6F71" w:rsidRPr="009E0620">
        <w:rPr>
          <w:rFonts w:ascii="Times New Roman" w:hAnsi="Times New Roman" w:cs="Times New Roman"/>
        </w:rPr>
        <w:t>his is a decrease from 1</w:t>
      </w:r>
      <w:r w:rsidR="000563DB">
        <w:rPr>
          <w:rFonts w:ascii="Times New Roman" w:hAnsi="Times New Roman" w:cs="Times New Roman"/>
        </w:rPr>
        <w:t>6</w:t>
      </w:r>
      <w:r w:rsidR="00EA6F71" w:rsidRPr="009E0620">
        <w:rPr>
          <w:rFonts w:ascii="Times New Roman" w:hAnsi="Times New Roman" w:cs="Times New Roman"/>
        </w:rPr>
        <w:t xml:space="preserve">% to </w:t>
      </w:r>
      <w:r w:rsidR="00E61C35">
        <w:rPr>
          <w:rFonts w:ascii="Times New Roman" w:hAnsi="Times New Roman" w:cs="Times New Roman"/>
        </w:rPr>
        <w:t>7</w:t>
      </w:r>
      <w:r w:rsidR="00EA6F71" w:rsidRPr="009E0620">
        <w:rPr>
          <w:rFonts w:ascii="Times New Roman" w:hAnsi="Times New Roman" w:cs="Times New Roman"/>
        </w:rPr>
        <w:t>% in carryover.</w:t>
      </w:r>
    </w:p>
    <w:p w:rsidR="009032FD" w:rsidRPr="009E0620" w:rsidRDefault="009032FD" w:rsidP="009032FD">
      <w:pPr>
        <w:pStyle w:val="ListParagraph"/>
        <w:numPr>
          <w:ilvl w:val="1"/>
          <w:numId w:val="2"/>
        </w:numPr>
        <w:rPr>
          <w:rFonts w:ascii="Times New Roman" w:hAnsi="Times New Roman" w:cs="Times New Roman"/>
        </w:rPr>
      </w:pPr>
      <w:r w:rsidRPr="009E0620">
        <w:rPr>
          <w:rFonts w:ascii="Times New Roman" w:hAnsi="Times New Roman" w:cs="Times New Roman"/>
        </w:rPr>
        <w:t>Of the $</w:t>
      </w:r>
      <w:r w:rsidR="00E61C35">
        <w:rPr>
          <w:rFonts w:ascii="Times New Roman" w:hAnsi="Times New Roman" w:cs="Times New Roman"/>
        </w:rPr>
        <w:t>71.1</w:t>
      </w:r>
      <w:r w:rsidRPr="009E0620">
        <w:rPr>
          <w:rFonts w:ascii="Times New Roman" w:hAnsi="Times New Roman" w:cs="Times New Roman"/>
        </w:rPr>
        <w:t>M carried over from FY1</w:t>
      </w:r>
      <w:r w:rsidR="00E61C35">
        <w:rPr>
          <w:rFonts w:ascii="Times New Roman" w:hAnsi="Times New Roman" w:cs="Times New Roman"/>
        </w:rPr>
        <w:t>5</w:t>
      </w:r>
      <w:r w:rsidRPr="009E0620">
        <w:rPr>
          <w:rFonts w:ascii="Times New Roman" w:hAnsi="Times New Roman" w:cs="Times New Roman"/>
        </w:rPr>
        <w:t>, $</w:t>
      </w:r>
      <w:r w:rsidR="00E61C35">
        <w:rPr>
          <w:rFonts w:ascii="Times New Roman" w:hAnsi="Times New Roman" w:cs="Times New Roman"/>
        </w:rPr>
        <w:t>67.3</w:t>
      </w:r>
      <w:r w:rsidRPr="009E0620">
        <w:rPr>
          <w:rFonts w:ascii="Times New Roman" w:hAnsi="Times New Roman" w:cs="Times New Roman"/>
        </w:rPr>
        <w:t>M is either obligated or planned for expenses the campus will incur in FY1</w:t>
      </w:r>
      <w:r w:rsidR="00E61C35">
        <w:rPr>
          <w:rFonts w:ascii="Times New Roman" w:hAnsi="Times New Roman" w:cs="Times New Roman"/>
        </w:rPr>
        <w:t>6</w:t>
      </w:r>
      <w:r w:rsidRPr="009E0620">
        <w:rPr>
          <w:rFonts w:ascii="Times New Roman" w:hAnsi="Times New Roman" w:cs="Times New Roman"/>
        </w:rPr>
        <w:t>.  Only $</w:t>
      </w:r>
      <w:r w:rsidR="00E61C35">
        <w:rPr>
          <w:rFonts w:ascii="Times New Roman" w:hAnsi="Times New Roman" w:cs="Times New Roman"/>
        </w:rPr>
        <w:t>3.8</w:t>
      </w:r>
      <w:r w:rsidRPr="009E0620">
        <w:rPr>
          <w:rFonts w:ascii="Times New Roman" w:hAnsi="Times New Roman" w:cs="Times New Roman"/>
        </w:rPr>
        <w:t>M is a true reserve.</w:t>
      </w:r>
      <w:r w:rsidR="00E444C1" w:rsidRPr="009E0620">
        <w:rPr>
          <w:rFonts w:ascii="Times New Roman" w:hAnsi="Times New Roman" w:cs="Times New Roman"/>
        </w:rPr>
        <w:t xml:space="preserve">  The reserve will be utilized this year as we experienced a modest decline in our enrollment.</w:t>
      </w:r>
    </w:p>
    <w:p w:rsidR="00963B8D" w:rsidRPr="009E0620" w:rsidRDefault="00963B8D" w:rsidP="00963B8D">
      <w:pPr>
        <w:pStyle w:val="ListParagraph"/>
        <w:rPr>
          <w:rFonts w:ascii="Times New Roman" w:hAnsi="Times New Roman" w:cs="Times New Roman"/>
        </w:rPr>
      </w:pPr>
    </w:p>
    <w:p w:rsidR="009032FD" w:rsidRPr="009E0620" w:rsidRDefault="009032FD" w:rsidP="009032FD">
      <w:pPr>
        <w:pStyle w:val="ListParagraph"/>
        <w:numPr>
          <w:ilvl w:val="0"/>
          <w:numId w:val="2"/>
        </w:numPr>
        <w:rPr>
          <w:rFonts w:ascii="Times New Roman" w:hAnsi="Times New Roman" w:cs="Times New Roman"/>
        </w:rPr>
      </w:pPr>
      <w:r w:rsidRPr="009E0620">
        <w:rPr>
          <w:rFonts w:ascii="Times New Roman" w:hAnsi="Times New Roman" w:cs="Times New Roman"/>
        </w:rPr>
        <w:t>Auxiliaries</w:t>
      </w:r>
    </w:p>
    <w:p w:rsidR="009032FD" w:rsidRPr="009E0620" w:rsidRDefault="009032FD" w:rsidP="009032FD">
      <w:pPr>
        <w:pStyle w:val="ListParagraph"/>
        <w:numPr>
          <w:ilvl w:val="1"/>
          <w:numId w:val="2"/>
        </w:numPr>
        <w:rPr>
          <w:rFonts w:ascii="Times New Roman" w:hAnsi="Times New Roman" w:cs="Times New Roman"/>
        </w:rPr>
      </w:pPr>
      <w:r w:rsidRPr="009E0620">
        <w:rPr>
          <w:rFonts w:ascii="Times New Roman" w:hAnsi="Times New Roman" w:cs="Times New Roman"/>
        </w:rPr>
        <w:t>An auxiliary enterprise furnishes goods or services to students, staff or the general public and charges a fee which is directly related to the good or service provided.  Examples include residence halls, food service, parking and athletics.</w:t>
      </w:r>
    </w:p>
    <w:p w:rsidR="00DE3FDA" w:rsidRPr="009E0620" w:rsidRDefault="00DE3FDA" w:rsidP="009032FD">
      <w:pPr>
        <w:pStyle w:val="ListParagraph"/>
        <w:numPr>
          <w:ilvl w:val="1"/>
          <w:numId w:val="2"/>
        </w:numPr>
        <w:rPr>
          <w:rFonts w:ascii="Times New Roman" w:hAnsi="Times New Roman" w:cs="Times New Roman"/>
        </w:rPr>
      </w:pPr>
      <w:r w:rsidRPr="009E0620">
        <w:rPr>
          <w:rFonts w:ascii="Times New Roman" w:hAnsi="Times New Roman" w:cs="Times New Roman"/>
        </w:rPr>
        <w:t>These are self-funding/self-sustaining operations that carry balances in order to pay short term bills and to fund long term projects (such as building new facilities or major equipment upgrades)</w:t>
      </w:r>
    </w:p>
    <w:p w:rsidR="009032FD" w:rsidRPr="009E0620" w:rsidRDefault="00DE3FDA" w:rsidP="009032FD">
      <w:pPr>
        <w:pStyle w:val="ListParagraph"/>
        <w:numPr>
          <w:ilvl w:val="1"/>
          <w:numId w:val="2"/>
        </w:numPr>
        <w:rPr>
          <w:rFonts w:ascii="Times New Roman" w:hAnsi="Times New Roman" w:cs="Times New Roman"/>
        </w:rPr>
      </w:pPr>
      <w:r w:rsidRPr="009E0620">
        <w:rPr>
          <w:rFonts w:ascii="Times New Roman" w:hAnsi="Times New Roman" w:cs="Times New Roman"/>
        </w:rPr>
        <w:t>From FY13 to FY1</w:t>
      </w:r>
      <w:r w:rsidR="00401099">
        <w:rPr>
          <w:rFonts w:ascii="Times New Roman" w:hAnsi="Times New Roman" w:cs="Times New Roman"/>
        </w:rPr>
        <w:t>5</w:t>
      </w:r>
      <w:r w:rsidRPr="009E0620">
        <w:rPr>
          <w:rFonts w:ascii="Times New Roman" w:hAnsi="Times New Roman" w:cs="Times New Roman"/>
        </w:rPr>
        <w:t xml:space="preserve"> the aggregate carryover balance in all auxiliary accounts increased from $78M to $11</w:t>
      </w:r>
      <w:r w:rsidR="00401099">
        <w:rPr>
          <w:rFonts w:ascii="Times New Roman" w:hAnsi="Times New Roman" w:cs="Times New Roman"/>
        </w:rPr>
        <w:t>7</w:t>
      </w:r>
      <w:r w:rsidRPr="009E0620">
        <w:rPr>
          <w:rFonts w:ascii="Times New Roman" w:hAnsi="Times New Roman" w:cs="Times New Roman"/>
        </w:rPr>
        <w:t xml:space="preserve">M, or from 19% carryover to </w:t>
      </w:r>
      <w:r w:rsidR="000563DB">
        <w:rPr>
          <w:rFonts w:ascii="Times New Roman" w:hAnsi="Times New Roman" w:cs="Times New Roman"/>
        </w:rPr>
        <w:t>29</w:t>
      </w:r>
      <w:r w:rsidRPr="009E0620">
        <w:rPr>
          <w:rFonts w:ascii="Times New Roman" w:hAnsi="Times New Roman" w:cs="Times New Roman"/>
        </w:rPr>
        <w:t>% carryover.  Much of that increase is due to that fact that building projects are being approved and moving forward more slowly than anticipated</w:t>
      </w:r>
      <w:r w:rsidR="00963B8D" w:rsidRPr="009E0620">
        <w:rPr>
          <w:rFonts w:ascii="Times New Roman" w:hAnsi="Times New Roman" w:cs="Times New Roman"/>
        </w:rPr>
        <w:t xml:space="preserve">, and therefore the funds set aside to pay for them are not being </w:t>
      </w:r>
      <w:r w:rsidR="00401099">
        <w:rPr>
          <w:rFonts w:ascii="Times New Roman" w:hAnsi="Times New Roman" w:cs="Times New Roman"/>
        </w:rPr>
        <w:t>spent</w:t>
      </w:r>
      <w:r w:rsidR="00963B8D" w:rsidRPr="009E0620">
        <w:rPr>
          <w:rFonts w:ascii="Times New Roman" w:hAnsi="Times New Roman" w:cs="Times New Roman"/>
        </w:rPr>
        <w:t xml:space="preserve"> as quickly.</w:t>
      </w:r>
    </w:p>
    <w:p w:rsidR="00963B8D" w:rsidRPr="009E0620" w:rsidRDefault="00963B8D" w:rsidP="00963B8D">
      <w:pPr>
        <w:pStyle w:val="ListParagraph"/>
        <w:rPr>
          <w:rFonts w:ascii="Times New Roman" w:hAnsi="Times New Roman" w:cs="Times New Roman"/>
        </w:rPr>
      </w:pPr>
    </w:p>
    <w:p w:rsidR="00DE3FDA" w:rsidRPr="009E0620" w:rsidRDefault="00DE3FDA" w:rsidP="00DE3FDA">
      <w:pPr>
        <w:pStyle w:val="ListParagraph"/>
        <w:numPr>
          <w:ilvl w:val="0"/>
          <w:numId w:val="2"/>
        </w:numPr>
        <w:rPr>
          <w:rFonts w:ascii="Times New Roman" w:hAnsi="Times New Roman" w:cs="Times New Roman"/>
        </w:rPr>
      </w:pPr>
      <w:r w:rsidRPr="009E0620">
        <w:rPr>
          <w:rFonts w:ascii="Times New Roman" w:hAnsi="Times New Roman" w:cs="Times New Roman"/>
        </w:rPr>
        <w:t>General Operations</w:t>
      </w:r>
    </w:p>
    <w:p w:rsidR="00DE3FDA" w:rsidRPr="009E0620" w:rsidRDefault="00DE3FDA" w:rsidP="00407720">
      <w:pPr>
        <w:pStyle w:val="ListParagraph"/>
        <w:numPr>
          <w:ilvl w:val="1"/>
          <w:numId w:val="2"/>
        </w:numPr>
        <w:rPr>
          <w:rFonts w:ascii="Times New Roman" w:hAnsi="Times New Roman" w:cs="Times New Roman"/>
        </w:rPr>
      </w:pPr>
      <w:r w:rsidRPr="009E0620">
        <w:rPr>
          <w:rFonts w:ascii="Times New Roman" w:hAnsi="Times New Roman" w:cs="Times New Roman"/>
        </w:rPr>
        <w:t>These accounts, which are Fee-for-Service or Revenue Producing Activities</w:t>
      </w:r>
      <w:r w:rsidR="00407720" w:rsidRPr="009E0620">
        <w:rPr>
          <w:rFonts w:ascii="Times New Roman" w:hAnsi="Times New Roman" w:cs="Times New Roman"/>
        </w:rPr>
        <w:t>, are generated by self-supporting operations in colleges and schools on campus, an</w:t>
      </w:r>
      <w:r w:rsidR="00E444C1" w:rsidRPr="009E0620">
        <w:rPr>
          <w:rFonts w:ascii="Times New Roman" w:hAnsi="Times New Roman" w:cs="Times New Roman"/>
        </w:rPr>
        <w:t>d are dispersed in several thousand</w:t>
      </w:r>
      <w:r w:rsidR="00407720" w:rsidRPr="009E0620">
        <w:rPr>
          <w:rFonts w:ascii="Times New Roman" w:hAnsi="Times New Roman" w:cs="Times New Roman"/>
        </w:rPr>
        <w:t xml:space="preserve"> individual accounts. They pay for operations that range from relatively small expenditures (such as key deposits, copy room chargebacks, chemistry storerooms, music equipment rentals) to large (such as the Wisconsin Center for Education Research, the School of Veterinary Medicine Teaching Hospital, and the Babcock Dairy Plant).</w:t>
      </w:r>
    </w:p>
    <w:p w:rsidR="00407720" w:rsidRPr="009E0620" w:rsidRDefault="00407720" w:rsidP="00407720">
      <w:pPr>
        <w:pStyle w:val="ListParagraph"/>
        <w:numPr>
          <w:ilvl w:val="1"/>
          <w:numId w:val="2"/>
        </w:numPr>
        <w:rPr>
          <w:rFonts w:ascii="Times New Roman" w:hAnsi="Times New Roman" w:cs="Times New Roman"/>
        </w:rPr>
      </w:pPr>
      <w:r w:rsidRPr="009E0620">
        <w:rPr>
          <w:rFonts w:ascii="Times New Roman" w:hAnsi="Times New Roman" w:cs="Times New Roman"/>
        </w:rPr>
        <w:t>From FY13 to FY1</w:t>
      </w:r>
      <w:r w:rsidR="0034132C">
        <w:rPr>
          <w:rFonts w:ascii="Times New Roman" w:hAnsi="Times New Roman" w:cs="Times New Roman"/>
        </w:rPr>
        <w:t>5</w:t>
      </w:r>
      <w:r w:rsidRPr="009E0620">
        <w:rPr>
          <w:rFonts w:ascii="Times New Roman" w:hAnsi="Times New Roman" w:cs="Times New Roman"/>
        </w:rPr>
        <w:t xml:space="preserve"> the aggregate carryover balances in these accounts decreased by $4</w:t>
      </w:r>
      <w:r w:rsidR="0034132C">
        <w:rPr>
          <w:rFonts w:ascii="Times New Roman" w:hAnsi="Times New Roman" w:cs="Times New Roman"/>
        </w:rPr>
        <w:t>9.9</w:t>
      </w:r>
      <w:r w:rsidRPr="009E0620">
        <w:rPr>
          <w:rFonts w:ascii="Times New Roman" w:hAnsi="Times New Roman" w:cs="Times New Roman"/>
        </w:rPr>
        <w:t>M ($6</w:t>
      </w:r>
      <w:r w:rsidR="00BA39CB">
        <w:rPr>
          <w:rFonts w:ascii="Times New Roman" w:hAnsi="Times New Roman" w:cs="Times New Roman"/>
        </w:rPr>
        <w:t>7.</w:t>
      </w:r>
      <w:r w:rsidRPr="009E0620">
        <w:rPr>
          <w:rFonts w:ascii="Times New Roman" w:hAnsi="Times New Roman" w:cs="Times New Roman"/>
        </w:rPr>
        <w:t>8M to $1</w:t>
      </w:r>
      <w:r w:rsidR="0034132C">
        <w:rPr>
          <w:rFonts w:ascii="Times New Roman" w:hAnsi="Times New Roman" w:cs="Times New Roman"/>
        </w:rPr>
        <w:t>7.9</w:t>
      </w:r>
      <w:r w:rsidRPr="009E0620">
        <w:rPr>
          <w:rFonts w:ascii="Times New Roman" w:hAnsi="Times New Roman" w:cs="Times New Roman"/>
        </w:rPr>
        <w:t>M), or from 39% carryover to 9% carryover.  The decrease is largely due to the new system the campus put in place to monitor balances on a quarterly basis allowing us to make adjustments as necessary.</w:t>
      </w:r>
    </w:p>
    <w:p w:rsidR="00963B8D" w:rsidRPr="009E0620" w:rsidRDefault="00963B8D" w:rsidP="00963B8D">
      <w:pPr>
        <w:pStyle w:val="ListParagraph"/>
        <w:rPr>
          <w:rFonts w:ascii="Times New Roman" w:hAnsi="Times New Roman" w:cs="Times New Roman"/>
        </w:rPr>
      </w:pPr>
    </w:p>
    <w:p w:rsidR="00407720" w:rsidRPr="009E0620" w:rsidRDefault="00407720" w:rsidP="00407720">
      <w:pPr>
        <w:pStyle w:val="ListParagraph"/>
        <w:numPr>
          <w:ilvl w:val="0"/>
          <w:numId w:val="2"/>
        </w:numPr>
        <w:rPr>
          <w:rFonts w:ascii="Times New Roman" w:hAnsi="Times New Roman" w:cs="Times New Roman"/>
        </w:rPr>
      </w:pPr>
      <w:r w:rsidRPr="009E0620">
        <w:rPr>
          <w:rFonts w:ascii="Times New Roman" w:hAnsi="Times New Roman" w:cs="Times New Roman"/>
        </w:rPr>
        <w:t>Federal Indirect Funds</w:t>
      </w:r>
    </w:p>
    <w:p w:rsidR="00DC5A79" w:rsidRDefault="00DC5A79" w:rsidP="00407720">
      <w:pPr>
        <w:pStyle w:val="ListParagraph"/>
        <w:numPr>
          <w:ilvl w:val="1"/>
          <w:numId w:val="2"/>
        </w:numPr>
        <w:rPr>
          <w:rFonts w:ascii="Times New Roman" w:hAnsi="Times New Roman" w:cs="Times New Roman"/>
        </w:rPr>
      </w:pPr>
      <w:r>
        <w:rPr>
          <w:rFonts w:ascii="Times New Roman" w:hAnsi="Times New Roman" w:cs="Times New Roman"/>
        </w:rPr>
        <w:lastRenderedPageBreak/>
        <w:t>Because of their unique nature and critical importance to sustaining UW-Madison’s entire research enterprise, federal indirect costs were excluded from the 12% threshold imposed by the Legislature. However, UW-Madison does report the total balance by category to the Board of Regents and Legislature.</w:t>
      </w:r>
    </w:p>
    <w:p w:rsidR="00407720" w:rsidRPr="009E0620" w:rsidRDefault="00407720" w:rsidP="00407720">
      <w:pPr>
        <w:pStyle w:val="ListParagraph"/>
        <w:numPr>
          <w:ilvl w:val="1"/>
          <w:numId w:val="2"/>
        </w:numPr>
        <w:rPr>
          <w:rFonts w:ascii="Times New Roman" w:hAnsi="Times New Roman" w:cs="Times New Roman"/>
        </w:rPr>
      </w:pPr>
      <w:r w:rsidRPr="009E0620">
        <w:rPr>
          <w:rFonts w:ascii="Times New Roman" w:hAnsi="Times New Roman" w:cs="Times New Roman"/>
        </w:rPr>
        <w:t>Indirect costs are real costs th</w:t>
      </w:r>
      <w:r w:rsidR="00D13500" w:rsidRPr="009E0620">
        <w:rPr>
          <w:rFonts w:ascii="Times New Roman" w:hAnsi="Times New Roman" w:cs="Times New Roman"/>
        </w:rPr>
        <w:t>e institution incurs that support research</w:t>
      </w:r>
      <w:r w:rsidRPr="009E0620">
        <w:rPr>
          <w:rFonts w:ascii="Times New Roman" w:hAnsi="Times New Roman" w:cs="Times New Roman"/>
        </w:rPr>
        <w:t xml:space="preserve"> activities but cannot be directly charged to a </w:t>
      </w:r>
      <w:r w:rsidR="00D13500" w:rsidRPr="009E0620">
        <w:rPr>
          <w:rFonts w:ascii="Times New Roman" w:hAnsi="Times New Roman" w:cs="Times New Roman"/>
        </w:rPr>
        <w:t xml:space="preserve">research </w:t>
      </w:r>
      <w:r w:rsidRPr="009E0620">
        <w:rPr>
          <w:rFonts w:ascii="Times New Roman" w:hAnsi="Times New Roman" w:cs="Times New Roman"/>
        </w:rPr>
        <w:t>grant or contract</w:t>
      </w:r>
      <w:r w:rsidR="00D13500" w:rsidRPr="009E0620">
        <w:rPr>
          <w:rFonts w:ascii="Times New Roman" w:hAnsi="Times New Roman" w:cs="Times New Roman"/>
        </w:rPr>
        <w:t xml:space="preserve">.  Examples include </w:t>
      </w:r>
      <w:r w:rsidRPr="009E0620">
        <w:rPr>
          <w:rFonts w:ascii="Times New Roman" w:hAnsi="Times New Roman" w:cs="Times New Roman"/>
        </w:rPr>
        <w:t xml:space="preserve">libraries, physical plant operation </w:t>
      </w:r>
      <w:r w:rsidR="00D13500" w:rsidRPr="009E0620">
        <w:rPr>
          <w:rFonts w:ascii="Times New Roman" w:hAnsi="Times New Roman" w:cs="Times New Roman"/>
        </w:rPr>
        <w:t xml:space="preserve">and maintenance, utility costs and </w:t>
      </w:r>
      <w:r w:rsidRPr="009E0620">
        <w:rPr>
          <w:rFonts w:ascii="Times New Roman" w:hAnsi="Times New Roman" w:cs="Times New Roman"/>
        </w:rPr>
        <w:t>administrative expenses</w:t>
      </w:r>
      <w:r w:rsidR="00D13500" w:rsidRPr="009E0620">
        <w:rPr>
          <w:rFonts w:ascii="Times New Roman" w:hAnsi="Times New Roman" w:cs="Times New Roman"/>
        </w:rPr>
        <w:t xml:space="preserve"> that support the research enterprise.</w:t>
      </w:r>
      <w:r w:rsidRPr="009E0620">
        <w:rPr>
          <w:rFonts w:ascii="Times New Roman" w:hAnsi="Times New Roman" w:cs="Times New Roman"/>
        </w:rPr>
        <w:t xml:space="preserve"> </w:t>
      </w:r>
    </w:p>
    <w:p w:rsidR="003E2FF6" w:rsidRPr="009E0620" w:rsidRDefault="00D13500" w:rsidP="00407720">
      <w:pPr>
        <w:pStyle w:val="ListParagraph"/>
        <w:numPr>
          <w:ilvl w:val="1"/>
          <w:numId w:val="2"/>
        </w:numPr>
        <w:rPr>
          <w:rFonts w:ascii="Times New Roman" w:hAnsi="Times New Roman" w:cs="Times New Roman"/>
        </w:rPr>
      </w:pPr>
      <w:r w:rsidRPr="009E0620">
        <w:rPr>
          <w:rFonts w:ascii="Times New Roman" w:hAnsi="Times New Roman" w:cs="Times New Roman"/>
        </w:rPr>
        <w:t>From FY13 to FY1</w:t>
      </w:r>
      <w:r w:rsidR="00337918">
        <w:rPr>
          <w:rFonts w:ascii="Times New Roman" w:hAnsi="Times New Roman" w:cs="Times New Roman"/>
        </w:rPr>
        <w:t>5</w:t>
      </w:r>
      <w:r w:rsidRPr="009E0620">
        <w:rPr>
          <w:rFonts w:ascii="Times New Roman" w:hAnsi="Times New Roman" w:cs="Times New Roman"/>
        </w:rPr>
        <w:t xml:space="preserve"> the federal indirect carryover balance grew from $108M to $140M.  However, these funds are designated to support and serve as a reserve against the entire $1.1 billion research enterprise.</w:t>
      </w:r>
      <w:r w:rsidR="003E2FF6" w:rsidRPr="009E0620">
        <w:rPr>
          <w:rFonts w:ascii="Times New Roman" w:hAnsi="Times New Roman" w:cs="Times New Roman"/>
        </w:rPr>
        <w:t xml:space="preserve"> </w:t>
      </w:r>
    </w:p>
    <w:p w:rsidR="00D13500" w:rsidRPr="009E0620" w:rsidRDefault="003E2FF6" w:rsidP="003E2FF6">
      <w:pPr>
        <w:pStyle w:val="ListParagraph"/>
        <w:numPr>
          <w:ilvl w:val="1"/>
          <w:numId w:val="2"/>
        </w:numPr>
        <w:rPr>
          <w:rFonts w:ascii="Times New Roman" w:hAnsi="Times New Roman" w:cs="Times New Roman"/>
        </w:rPr>
      </w:pPr>
      <w:r w:rsidRPr="009E0620">
        <w:rPr>
          <w:rFonts w:ascii="Times New Roman" w:hAnsi="Times New Roman" w:cs="Times New Roman"/>
        </w:rPr>
        <w:t>With federal research funding declining, it is critical that the campus have the ability to provide bridge funds to allow researchers that have exhausted existing research grants to continue their research projects while they are waiting for the next grant to be awarded.  In FY1</w:t>
      </w:r>
      <w:r w:rsidR="00337918">
        <w:rPr>
          <w:rFonts w:ascii="Times New Roman" w:hAnsi="Times New Roman" w:cs="Times New Roman"/>
        </w:rPr>
        <w:t>5</w:t>
      </w:r>
      <w:r w:rsidRPr="009E0620">
        <w:rPr>
          <w:rFonts w:ascii="Times New Roman" w:hAnsi="Times New Roman" w:cs="Times New Roman"/>
        </w:rPr>
        <w:t xml:space="preserve"> alone the campus used $10M of federal indirect funds to keep r</w:t>
      </w:r>
      <w:r w:rsidR="00EA6F71" w:rsidRPr="009E0620">
        <w:rPr>
          <w:rFonts w:ascii="Times New Roman" w:hAnsi="Times New Roman" w:cs="Times New Roman"/>
        </w:rPr>
        <w:t xml:space="preserve">esearch projects moving </w:t>
      </w:r>
      <w:r w:rsidR="0034466E" w:rsidRPr="009E0620">
        <w:rPr>
          <w:rFonts w:ascii="Times New Roman" w:hAnsi="Times New Roman" w:cs="Times New Roman"/>
        </w:rPr>
        <w:t>forward</w:t>
      </w:r>
      <w:r w:rsidR="00EA6F71" w:rsidRPr="009E0620">
        <w:rPr>
          <w:rFonts w:ascii="Times New Roman" w:hAnsi="Times New Roman" w:cs="Times New Roman"/>
        </w:rPr>
        <w:t xml:space="preserve"> and that number is expected to increase in the future.</w:t>
      </w:r>
    </w:p>
    <w:p w:rsidR="00EA6F71" w:rsidRPr="009E0620" w:rsidRDefault="00EA6F71" w:rsidP="003E2FF6">
      <w:pPr>
        <w:pStyle w:val="ListParagraph"/>
        <w:numPr>
          <w:ilvl w:val="1"/>
          <w:numId w:val="2"/>
        </w:numPr>
        <w:rPr>
          <w:rFonts w:ascii="Times New Roman" w:hAnsi="Times New Roman" w:cs="Times New Roman"/>
        </w:rPr>
      </w:pPr>
      <w:r w:rsidRPr="009E0620">
        <w:rPr>
          <w:rFonts w:ascii="Times New Roman" w:hAnsi="Times New Roman" w:cs="Times New Roman"/>
        </w:rPr>
        <w:t>Of the $140M carried over into FY1</w:t>
      </w:r>
      <w:r w:rsidR="00B25AE1">
        <w:rPr>
          <w:rFonts w:ascii="Times New Roman" w:hAnsi="Times New Roman" w:cs="Times New Roman"/>
        </w:rPr>
        <w:t>6</w:t>
      </w:r>
      <w:r w:rsidRPr="009E0620">
        <w:rPr>
          <w:rFonts w:ascii="Times New Roman" w:hAnsi="Times New Roman" w:cs="Times New Roman"/>
        </w:rPr>
        <w:t>, only $</w:t>
      </w:r>
      <w:r w:rsidR="00B45637">
        <w:rPr>
          <w:rFonts w:ascii="Times New Roman" w:hAnsi="Times New Roman" w:cs="Times New Roman"/>
        </w:rPr>
        <w:t>48.5</w:t>
      </w:r>
      <w:r w:rsidRPr="009E0620">
        <w:rPr>
          <w:rFonts w:ascii="Times New Roman" w:hAnsi="Times New Roman" w:cs="Times New Roman"/>
        </w:rPr>
        <w:t>M is true reserves.  The remaining $</w:t>
      </w:r>
      <w:r w:rsidR="00B45637">
        <w:rPr>
          <w:rFonts w:ascii="Times New Roman" w:hAnsi="Times New Roman" w:cs="Times New Roman"/>
        </w:rPr>
        <w:t>91.3</w:t>
      </w:r>
      <w:r w:rsidRPr="009E0620">
        <w:rPr>
          <w:rFonts w:ascii="Times New Roman" w:hAnsi="Times New Roman" w:cs="Times New Roman"/>
        </w:rPr>
        <w:t>M is obligated or planned for future expenditures the campus knows it will incur.</w:t>
      </w:r>
    </w:p>
    <w:p w:rsidR="00963B8D" w:rsidRPr="009E0620" w:rsidRDefault="00963B8D" w:rsidP="00963B8D">
      <w:pPr>
        <w:pStyle w:val="ListParagraph"/>
        <w:rPr>
          <w:rFonts w:ascii="Times New Roman" w:hAnsi="Times New Roman" w:cs="Times New Roman"/>
        </w:rPr>
      </w:pPr>
    </w:p>
    <w:p w:rsidR="00963B8D" w:rsidRPr="009E0620" w:rsidRDefault="00963B8D" w:rsidP="00963B8D">
      <w:pPr>
        <w:pStyle w:val="ListParagraph"/>
        <w:numPr>
          <w:ilvl w:val="0"/>
          <w:numId w:val="2"/>
        </w:numPr>
        <w:rPr>
          <w:rFonts w:ascii="Times New Roman" w:hAnsi="Times New Roman" w:cs="Times New Roman"/>
        </w:rPr>
      </w:pPr>
      <w:r w:rsidRPr="009E0620">
        <w:rPr>
          <w:rFonts w:ascii="Times New Roman" w:hAnsi="Times New Roman" w:cs="Times New Roman"/>
        </w:rPr>
        <w:t xml:space="preserve">Other </w:t>
      </w:r>
      <w:r w:rsidR="009E0225" w:rsidRPr="009E0620">
        <w:rPr>
          <w:rFonts w:ascii="Times New Roman" w:hAnsi="Times New Roman" w:cs="Times New Roman"/>
        </w:rPr>
        <w:t xml:space="preserve">Unrestricted </w:t>
      </w:r>
      <w:r w:rsidRPr="009E0620">
        <w:rPr>
          <w:rFonts w:ascii="Times New Roman" w:hAnsi="Times New Roman" w:cs="Times New Roman"/>
        </w:rPr>
        <w:t>Program Revenue Operations</w:t>
      </w:r>
    </w:p>
    <w:p w:rsidR="00963B8D" w:rsidRPr="009E0620" w:rsidRDefault="009E0225" w:rsidP="00963B8D">
      <w:pPr>
        <w:pStyle w:val="ListParagraph"/>
        <w:numPr>
          <w:ilvl w:val="1"/>
          <w:numId w:val="2"/>
        </w:numPr>
        <w:rPr>
          <w:rFonts w:ascii="Times New Roman" w:hAnsi="Times New Roman" w:cs="Times New Roman"/>
        </w:rPr>
      </w:pPr>
      <w:r w:rsidRPr="009E0620">
        <w:rPr>
          <w:rFonts w:ascii="Times New Roman" w:hAnsi="Times New Roman" w:cs="Times New Roman"/>
        </w:rPr>
        <w:t xml:space="preserve">Other </w:t>
      </w:r>
      <w:r w:rsidR="00963B8D" w:rsidRPr="009E0620">
        <w:rPr>
          <w:rFonts w:ascii="Times New Roman" w:hAnsi="Times New Roman" w:cs="Times New Roman"/>
        </w:rPr>
        <w:t>PR Operations include funding for utilities and certain UW-Extension operations, as well as the State Lab of Hygiene and the WI Veterinary Diagnostic Lab.  Although the budgets and balances for the two labs are listed as part of UW-Madison, they are in fact separate state agencies and the university has no control over their budgeting or operations.</w:t>
      </w:r>
    </w:p>
    <w:p w:rsidR="00963B8D" w:rsidRPr="009E0620" w:rsidRDefault="00963B8D" w:rsidP="00963B8D">
      <w:pPr>
        <w:pStyle w:val="ListParagraph"/>
        <w:numPr>
          <w:ilvl w:val="1"/>
          <w:numId w:val="2"/>
        </w:numPr>
        <w:rPr>
          <w:rFonts w:ascii="Times New Roman" w:hAnsi="Times New Roman" w:cs="Times New Roman"/>
        </w:rPr>
      </w:pPr>
      <w:r w:rsidRPr="009E0620">
        <w:rPr>
          <w:rFonts w:ascii="Times New Roman" w:hAnsi="Times New Roman" w:cs="Times New Roman"/>
        </w:rPr>
        <w:t>Aggregate carryover balances in Other PR Operations grew by $</w:t>
      </w:r>
      <w:r w:rsidR="00B45637">
        <w:rPr>
          <w:rFonts w:ascii="Times New Roman" w:hAnsi="Times New Roman" w:cs="Times New Roman"/>
        </w:rPr>
        <w:t>8.5</w:t>
      </w:r>
      <w:r w:rsidRPr="009E0620">
        <w:rPr>
          <w:rFonts w:ascii="Times New Roman" w:hAnsi="Times New Roman" w:cs="Times New Roman"/>
        </w:rPr>
        <w:t>M between FY13 and FY1</w:t>
      </w:r>
      <w:r w:rsidR="00B45637">
        <w:rPr>
          <w:rFonts w:ascii="Times New Roman" w:hAnsi="Times New Roman" w:cs="Times New Roman"/>
        </w:rPr>
        <w:t>5</w:t>
      </w:r>
      <w:r w:rsidRPr="009E0620">
        <w:rPr>
          <w:rFonts w:ascii="Times New Roman" w:hAnsi="Times New Roman" w:cs="Times New Roman"/>
        </w:rPr>
        <w:t>, from $23M to $</w:t>
      </w:r>
      <w:r w:rsidR="00B45637">
        <w:rPr>
          <w:rFonts w:ascii="Times New Roman" w:hAnsi="Times New Roman" w:cs="Times New Roman"/>
        </w:rPr>
        <w:t>31.6</w:t>
      </w:r>
      <w:r w:rsidRPr="009E0620">
        <w:rPr>
          <w:rFonts w:ascii="Times New Roman" w:hAnsi="Times New Roman" w:cs="Times New Roman"/>
        </w:rPr>
        <w:t>M.  This represents a carryover of 13% and 1</w:t>
      </w:r>
      <w:r w:rsidR="00B45637">
        <w:rPr>
          <w:rFonts w:ascii="Times New Roman" w:hAnsi="Times New Roman" w:cs="Times New Roman"/>
        </w:rPr>
        <w:t>9</w:t>
      </w:r>
      <w:r w:rsidRPr="009E0620">
        <w:rPr>
          <w:rFonts w:ascii="Times New Roman" w:hAnsi="Times New Roman" w:cs="Times New Roman"/>
        </w:rPr>
        <w:t>% respectively.</w:t>
      </w:r>
    </w:p>
    <w:p w:rsidR="003E2FF6" w:rsidRDefault="00963B8D" w:rsidP="00963B8D">
      <w:pPr>
        <w:pStyle w:val="ListParagraph"/>
        <w:numPr>
          <w:ilvl w:val="1"/>
          <w:numId w:val="2"/>
        </w:numPr>
        <w:rPr>
          <w:rFonts w:ascii="Times New Roman" w:hAnsi="Times New Roman" w:cs="Times New Roman"/>
        </w:rPr>
      </w:pPr>
      <w:r w:rsidRPr="009E0620">
        <w:rPr>
          <w:rFonts w:ascii="Times New Roman" w:hAnsi="Times New Roman" w:cs="Times New Roman"/>
        </w:rPr>
        <w:t>Of the $</w:t>
      </w:r>
      <w:r w:rsidR="00B45637">
        <w:rPr>
          <w:rFonts w:ascii="Times New Roman" w:hAnsi="Times New Roman" w:cs="Times New Roman"/>
        </w:rPr>
        <w:t>31.6</w:t>
      </w:r>
      <w:r w:rsidRPr="009E0620">
        <w:rPr>
          <w:rFonts w:ascii="Times New Roman" w:hAnsi="Times New Roman" w:cs="Times New Roman"/>
        </w:rPr>
        <w:t>M carryover in FY1</w:t>
      </w:r>
      <w:r w:rsidR="00B45637">
        <w:rPr>
          <w:rFonts w:ascii="Times New Roman" w:hAnsi="Times New Roman" w:cs="Times New Roman"/>
        </w:rPr>
        <w:t>5</w:t>
      </w:r>
      <w:r w:rsidRPr="009E0620">
        <w:rPr>
          <w:rFonts w:ascii="Times New Roman" w:hAnsi="Times New Roman" w:cs="Times New Roman"/>
        </w:rPr>
        <w:t>, $</w:t>
      </w:r>
      <w:r w:rsidR="00B45637">
        <w:rPr>
          <w:rFonts w:ascii="Times New Roman" w:hAnsi="Times New Roman" w:cs="Times New Roman"/>
        </w:rPr>
        <w:t>7.9</w:t>
      </w:r>
      <w:r w:rsidRPr="009E0620">
        <w:rPr>
          <w:rFonts w:ascii="Times New Roman" w:hAnsi="Times New Roman" w:cs="Times New Roman"/>
        </w:rPr>
        <w:t>M is for the labs and $</w:t>
      </w:r>
      <w:r w:rsidR="00B45637">
        <w:rPr>
          <w:rFonts w:ascii="Times New Roman" w:hAnsi="Times New Roman" w:cs="Times New Roman"/>
        </w:rPr>
        <w:t>1</w:t>
      </w:r>
      <w:r w:rsidRPr="009E0620">
        <w:rPr>
          <w:rFonts w:ascii="Times New Roman" w:hAnsi="Times New Roman" w:cs="Times New Roman"/>
        </w:rPr>
        <w:t>9</w:t>
      </w:r>
      <w:r w:rsidR="00B45637">
        <w:rPr>
          <w:rFonts w:ascii="Times New Roman" w:hAnsi="Times New Roman" w:cs="Times New Roman"/>
        </w:rPr>
        <w:t>.1</w:t>
      </w:r>
      <w:r w:rsidRPr="009E0620">
        <w:rPr>
          <w:rFonts w:ascii="Times New Roman" w:hAnsi="Times New Roman" w:cs="Times New Roman"/>
        </w:rPr>
        <w:t xml:space="preserve">M is for </w:t>
      </w:r>
      <w:r w:rsidR="00B45637">
        <w:rPr>
          <w:rFonts w:ascii="Times New Roman" w:hAnsi="Times New Roman" w:cs="Times New Roman"/>
        </w:rPr>
        <w:t xml:space="preserve">debt service costs </w:t>
      </w:r>
      <w:r w:rsidRPr="009E0620">
        <w:rPr>
          <w:rFonts w:ascii="Times New Roman" w:hAnsi="Times New Roman" w:cs="Times New Roman"/>
        </w:rPr>
        <w:t>the campus knows it will incur.</w:t>
      </w:r>
    </w:p>
    <w:p w:rsidR="00232F31" w:rsidRPr="009E0620" w:rsidRDefault="00232F31" w:rsidP="00232F31">
      <w:pPr>
        <w:pStyle w:val="ListParagraph"/>
        <w:ind w:left="1440"/>
        <w:rPr>
          <w:rFonts w:ascii="Times New Roman" w:hAnsi="Times New Roman" w:cs="Times New Roman"/>
        </w:rPr>
      </w:pPr>
    </w:p>
    <w:p w:rsidR="00232F31" w:rsidRDefault="00232F31" w:rsidP="00232F31">
      <w:pPr>
        <w:keepNext/>
        <w:jc w:val="center"/>
      </w:pPr>
      <w:r>
        <w:rPr>
          <w:noProof/>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1504950</wp:posOffset>
                </wp:positionH>
                <wp:positionV relativeFrom="paragraph">
                  <wp:posOffset>37465</wp:posOffset>
                </wp:positionV>
                <wp:extent cx="201930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04800"/>
                        </a:xfrm>
                        <a:prstGeom prst="rect">
                          <a:avLst/>
                        </a:prstGeom>
                        <a:solidFill>
                          <a:srgbClr val="FFFFFF"/>
                        </a:solidFill>
                        <a:ln w="9525">
                          <a:solidFill>
                            <a:srgbClr val="000000"/>
                          </a:solidFill>
                          <a:miter lim="800000"/>
                          <a:headEnd/>
                          <a:tailEnd/>
                        </a:ln>
                      </wps:spPr>
                      <wps:txbx>
                        <w:txbxContent>
                          <w:p w:rsidR="00321B24" w:rsidRDefault="00232F31" w:rsidP="00232F31">
                            <w:pPr>
                              <w:spacing w:after="0"/>
                              <w:rPr>
                                <w:b/>
                                <w:sz w:val="28"/>
                                <w:szCs w:val="28"/>
                              </w:rPr>
                            </w:pPr>
                            <w:r w:rsidRPr="00232F31">
                              <w:rPr>
                                <w:b/>
                                <w:sz w:val="28"/>
                                <w:szCs w:val="28"/>
                              </w:rPr>
                              <w:t>PR Balances</w:t>
                            </w:r>
                            <w:r w:rsidR="00BA6DBE">
                              <w:rPr>
                                <w:b/>
                                <w:sz w:val="28"/>
                                <w:szCs w:val="28"/>
                              </w:rPr>
                              <w:t xml:space="preserve"> (in millions) </w:t>
                            </w:r>
                            <w:r w:rsidRPr="00232F31">
                              <w:rPr>
                                <w:b/>
                                <w:sz w:val="28"/>
                                <w:szCs w:val="28"/>
                              </w:rPr>
                              <w:t xml:space="preserve"> </w:t>
                            </w:r>
                          </w:p>
                          <w:p w:rsidR="00232F31" w:rsidRPr="00232F31" w:rsidRDefault="00232F31" w:rsidP="00232F31">
                            <w:pPr>
                              <w:spacing w:after="0"/>
                              <w:rPr>
                                <w:b/>
                                <w:sz w:val="28"/>
                                <w:szCs w:val="28"/>
                              </w:rPr>
                            </w:pPr>
                            <w:r>
                              <w:rPr>
                                <w:b/>
                                <w:sz w:val="28"/>
                                <w:szCs w:val="28"/>
                              </w:rPr>
                              <w:t>(in millions)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5pt;margin-top:2.95pt;width:15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">
                <v:textbox>
                  <w:txbxContent>
                    <w:p w:rsidR="00321B24" w:rsidRDefault="00232F31" w:rsidP="00232F31">
                      <w:pPr>
                        <w:spacing w:after="0"/>
                        <w:rPr>
                          <w:b/>
                          <w:sz w:val="28"/>
                          <w:szCs w:val="28"/>
                        </w:rPr>
                      </w:pPr>
                      <w:r w:rsidRPr="00232F31">
                        <w:rPr>
                          <w:b/>
                          <w:sz w:val="28"/>
                          <w:szCs w:val="28"/>
                        </w:rPr>
                        <w:t>PR Balances</w:t>
                      </w:r>
                      <w:r w:rsidR="00BA6DBE">
                        <w:rPr>
                          <w:b/>
                          <w:sz w:val="28"/>
                          <w:szCs w:val="28"/>
                        </w:rPr>
                        <w:t xml:space="preserve"> (in millions) </w:t>
                      </w:r>
                      <w:r w:rsidRPr="00232F31">
                        <w:rPr>
                          <w:b/>
                          <w:sz w:val="28"/>
                          <w:szCs w:val="28"/>
                        </w:rPr>
                        <w:t xml:space="preserve"> </w:t>
                      </w:r>
                    </w:p>
                    <w:p w:rsidR="00232F31" w:rsidRPr="00232F31" w:rsidRDefault="00232F31" w:rsidP="00232F31">
                      <w:pPr>
                        <w:spacing w:after="0"/>
                        <w:rPr>
                          <w:b/>
                          <w:sz w:val="28"/>
                          <w:szCs w:val="28"/>
                        </w:rPr>
                      </w:pPr>
                      <w:r>
                        <w:rPr>
                          <w:b/>
                          <w:sz w:val="28"/>
                          <w:szCs w:val="28"/>
                        </w:rPr>
                        <w:t>(</w:t>
                      </w:r>
                      <w:proofErr w:type="gramStart"/>
                      <w:r>
                        <w:rPr>
                          <w:b/>
                          <w:sz w:val="28"/>
                          <w:szCs w:val="28"/>
                        </w:rPr>
                        <w:t>in</w:t>
                      </w:r>
                      <w:proofErr w:type="gramEnd"/>
                      <w:r>
                        <w:rPr>
                          <w:b/>
                          <w:sz w:val="28"/>
                          <w:szCs w:val="28"/>
                        </w:rPr>
                        <w:t xml:space="preserve"> millions)</w:t>
                      </w:r>
                    </w:p>
                  </w:txbxContent>
                </v:textbox>
              </v:shape>
            </w:pict>
          </mc:Fallback>
        </mc:AlternateContent>
      </w:r>
      <w:r w:rsidR="00DE717C">
        <w:rPr>
          <w:noProof/>
        </w:rPr>
        <w:drawing>
          <wp:inline distT="0" distB="0" distL="0" distR="0" wp14:anchorId="2F09EC2D" wp14:editId="2B16FD2B">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232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48" w:rsidRDefault="001A5448" w:rsidP="00F5381A">
      <w:pPr>
        <w:spacing w:after="0" w:line="240" w:lineRule="auto"/>
      </w:pPr>
      <w:r>
        <w:separator/>
      </w:r>
    </w:p>
  </w:endnote>
  <w:endnote w:type="continuationSeparator" w:id="0">
    <w:p w:rsidR="001A5448" w:rsidRDefault="001A5448" w:rsidP="00F5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48" w:rsidRDefault="001A5448" w:rsidP="00F5381A">
      <w:pPr>
        <w:spacing w:after="0" w:line="240" w:lineRule="auto"/>
      </w:pPr>
      <w:r>
        <w:separator/>
      </w:r>
    </w:p>
  </w:footnote>
  <w:footnote w:type="continuationSeparator" w:id="0">
    <w:p w:rsidR="001A5448" w:rsidRDefault="001A5448" w:rsidP="00F53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0409E"/>
    <w:multiLevelType w:val="hybridMultilevel"/>
    <w:tmpl w:val="704C6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90BCD"/>
    <w:multiLevelType w:val="hybridMultilevel"/>
    <w:tmpl w:val="F966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99"/>
    <w:rsid w:val="0001451F"/>
    <w:rsid w:val="00016DE8"/>
    <w:rsid w:val="000563DB"/>
    <w:rsid w:val="001A5448"/>
    <w:rsid w:val="001E0E25"/>
    <w:rsid w:val="001F48AF"/>
    <w:rsid w:val="00232F31"/>
    <w:rsid w:val="00321B24"/>
    <w:rsid w:val="00337918"/>
    <w:rsid w:val="0034132C"/>
    <w:rsid w:val="0034466E"/>
    <w:rsid w:val="00354EDC"/>
    <w:rsid w:val="00367502"/>
    <w:rsid w:val="00380298"/>
    <w:rsid w:val="003E2FF6"/>
    <w:rsid w:val="003E4CBB"/>
    <w:rsid w:val="00401099"/>
    <w:rsid w:val="00407720"/>
    <w:rsid w:val="00470E24"/>
    <w:rsid w:val="004730FB"/>
    <w:rsid w:val="00473160"/>
    <w:rsid w:val="004E7C99"/>
    <w:rsid w:val="004F249A"/>
    <w:rsid w:val="00611E1B"/>
    <w:rsid w:val="006560BC"/>
    <w:rsid w:val="006D2310"/>
    <w:rsid w:val="006F2ED3"/>
    <w:rsid w:val="006F3FFB"/>
    <w:rsid w:val="006F7581"/>
    <w:rsid w:val="00745CF5"/>
    <w:rsid w:val="00783210"/>
    <w:rsid w:val="007C1DC5"/>
    <w:rsid w:val="007D1254"/>
    <w:rsid w:val="008C65CC"/>
    <w:rsid w:val="008D0B20"/>
    <w:rsid w:val="009032FD"/>
    <w:rsid w:val="009555D1"/>
    <w:rsid w:val="00963B8D"/>
    <w:rsid w:val="00964108"/>
    <w:rsid w:val="009E0225"/>
    <w:rsid w:val="009E0620"/>
    <w:rsid w:val="00B25AE1"/>
    <w:rsid w:val="00B45637"/>
    <w:rsid w:val="00B81DBD"/>
    <w:rsid w:val="00B93017"/>
    <w:rsid w:val="00BA39CB"/>
    <w:rsid w:val="00BA6DBE"/>
    <w:rsid w:val="00BE3DE5"/>
    <w:rsid w:val="00C5428A"/>
    <w:rsid w:val="00D13500"/>
    <w:rsid w:val="00D212FC"/>
    <w:rsid w:val="00D9503B"/>
    <w:rsid w:val="00DC5A79"/>
    <w:rsid w:val="00DE3FDA"/>
    <w:rsid w:val="00DE717C"/>
    <w:rsid w:val="00E24FCB"/>
    <w:rsid w:val="00E444C1"/>
    <w:rsid w:val="00E61C35"/>
    <w:rsid w:val="00E6242E"/>
    <w:rsid w:val="00EA1DD9"/>
    <w:rsid w:val="00EA6F71"/>
    <w:rsid w:val="00F5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3861981-F4A1-43D6-8254-F9CF2CA0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C99"/>
    <w:pPr>
      <w:ind w:left="720"/>
      <w:contextualSpacing/>
    </w:pPr>
  </w:style>
  <w:style w:type="paragraph" w:styleId="Header">
    <w:name w:val="header"/>
    <w:basedOn w:val="Normal"/>
    <w:link w:val="HeaderChar"/>
    <w:uiPriority w:val="99"/>
    <w:unhideWhenUsed/>
    <w:rsid w:val="00F53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1A"/>
  </w:style>
  <w:style w:type="paragraph" w:styleId="Footer">
    <w:name w:val="footer"/>
    <w:basedOn w:val="Normal"/>
    <w:link w:val="FooterChar"/>
    <w:uiPriority w:val="99"/>
    <w:unhideWhenUsed/>
    <w:rsid w:val="00F53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1A"/>
  </w:style>
  <w:style w:type="paragraph" w:styleId="BalloonText">
    <w:name w:val="Balloon Text"/>
    <w:basedOn w:val="Normal"/>
    <w:link w:val="BalloonTextChar"/>
    <w:uiPriority w:val="99"/>
    <w:semiHidden/>
    <w:unhideWhenUsed/>
    <w:rsid w:val="006F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FB"/>
    <w:rPr>
      <w:rFonts w:ascii="Tahoma" w:hAnsi="Tahoma" w:cs="Tahoma"/>
      <w:sz w:val="16"/>
      <w:szCs w:val="16"/>
    </w:rPr>
  </w:style>
  <w:style w:type="paragraph" w:styleId="Caption">
    <w:name w:val="caption"/>
    <w:basedOn w:val="Normal"/>
    <w:next w:val="Normal"/>
    <w:uiPriority w:val="35"/>
    <w:unhideWhenUsed/>
    <w:qFormat/>
    <w:rsid w:val="00232F3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hhd\AppData\Local\Microsoft\Windows\Temporary%20Internet%20Files\Content.Outlook\9ZAE7NYO\Graphic%20for%20Scot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Commitments</a:t>
            </a:r>
            <a:r>
              <a:rPr lang="en-US" sz="1400" baseline="0"/>
              <a:t> for </a:t>
            </a:r>
            <a:r>
              <a:rPr lang="en-US" sz="1400"/>
              <a:t>FY15 PR Balances</a:t>
            </a:r>
          </a:p>
        </c:rich>
      </c:tx>
      <c:layout/>
      <c:overlay val="0"/>
    </c:title>
    <c:autoTitleDeleted val="0"/>
    <c:plotArea>
      <c:layout>
        <c:manualLayout>
          <c:layoutTarget val="inner"/>
          <c:xMode val="edge"/>
          <c:yMode val="edge"/>
          <c:x val="0.33389668261404032"/>
          <c:y val="0.23114117314283084"/>
          <c:w val="0.40664643482064744"/>
          <c:h val="0.69710817397825275"/>
        </c:manualLayout>
      </c:layout>
      <c:pieChart>
        <c:varyColors val="1"/>
        <c:ser>
          <c:idx val="0"/>
          <c:order val="0"/>
          <c:tx>
            <c:strRef>
              <c:f>Sheet1!$B$1</c:f>
              <c:strCache>
                <c:ptCount val="1"/>
                <c:pt idx="0">
                  <c:v>FY14 PR Balances by Level of Commitment</c:v>
                </c:pt>
              </c:strCache>
            </c:strRef>
          </c:tx>
          <c:explosion val="3"/>
          <c:dLbls>
            <c:dLbl>
              <c:idx val="0"/>
              <c:layout/>
              <c:tx>
                <c:rich>
                  <a:bodyPr/>
                  <a:lstStyle/>
                  <a:p>
                    <a:r>
                      <a:rPr lang="en-US"/>
                      <a:t>Planned, 43.6%</a:t>
                    </a:r>
                  </a:p>
                </c:rich>
              </c:tx>
              <c:showLegendKey val="0"/>
              <c:showVal val="1"/>
              <c:showCatName val="1"/>
              <c:showSerName val="0"/>
              <c:showPercent val="0"/>
              <c:showBubbleSize val="0"/>
              <c:extLst>
                <c:ext xmlns:c15="http://schemas.microsoft.com/office/drawing/2012/chart" uri="{CE6537A1-D6FC-4f65-9D91-7224C49458BB}">
                  <c15:layout/>
                </c:ext>
              </c:extLst>
            </c:dLbl>
            <c:dLbl>
              <c:idx val="1"/>
              <c:layout/>
              <c:tx>
                <c:rich>
                  <a:bodyPr/>
                  <a:lstStyle/>
                  <a:p>
                    <a:r>
                      <a:rPr lang="en-US"/>
                      <a:t>Obligated, 37.8%</a:t>
                    </a:r>
                  </a:p>
                </c:rich>
              </c:tx>
              <c:showLegendKey val="0"/>
              <c:showVal val="1"/>
              <c:showCatName val="1"/>
              <c:showSerName val="0"/>
              <c:showPercent val="0"/>
              <c:showBubbleSize val="0"/>
              <c:extLst>
                <c:ext xmlns:c15="http://schemas.microsoft.com/office/drawing/2012/chart" uri="{CE6537A1-D6FC-4f65-9D91-7224C49458BB}">
                  <c15:layout/>
                </c:ext>
              </c:extLst>
            </c:dLbl>
            <c:dLbl>
              <c:idx val="2"/>
              <c:layout/>
              <c:tx>
                <c:rich>
                  <a:bodyPr/>
                  <a:lstStyle/>
                  <a:p>
                    <a:r>
                      <a:rPr lang="en-US"/>
                      <a:t>Reserves, 13.9%</a:t>
                    </a:r>
                  </a:p>
                </c:rich>
              </c:tx>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5939976154400259"/>
                  <c:y val="5.5821482136161553E-2"/>
                </c:manualLayout>
              </c:layout>
              <c:tx>
                <c:rich>
                  <a:bodyPr/>
                  <a:lstStyle/>
                  <a:p>
                    <a:r>
                      <a:rPr lang="en-US"/>
                      <a:t>Designated, 4.8%</a:t>
                    </a:r>
                  </a:p>
                </c:rich>
              </c:tx>
              <c:showLegendKey val="0"/>
              <c:showVal val="1"/>
              <c:showCatName val="1"/>
              <c:showSerName val="0"/>
              <c:showPercent val="0"/>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numFmt formatCode="0.0%" sourceLinked="0"/>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Sheet1!$A$2:$A$6</c:f>
              <c:strCache>
                <c:ptCount val="5"/>
                <c:pt idx="0">
                  <c:v>Planned</c:v>
                </c:pt>
                <c:pt idx="1">
                  <c:v>Obligated</c:v>
                </c:pt>
                <c:pt idx="2">
                  <c:v>Reserves</c:v>
                </c:pt>
                <c:pt idx="3">
                  <c:v>Designated</c:v>
                </c:pt>
                <c:pt idx="4">
                  <c:v>Undocumented</c:v>
                </c:pt>
              </c:strCache>
            </c:strRef>
          </c:cat>
          <c:val>
            <c:numRef>
              <c:f>Sheet1!$B$2:$B$6</c:f>
              <c:numCache>
                <c:formatCode>0.00%</c:formatCode>
                <c:ptCount val="5"/>
                <c:pt idx="0">
                  <c:v>0.44500000000000001</c:v>
                </c:pt>
                <c:pt idx="1">
                  <c:v>0.36799999999999999</c:v>
                </c:pt>
                <c:pt idx="2">
                  <c:v>0.14199999999999999</c:v>
                </c:pt>
                <c:pt idx="3">
                  <c:v>4.4999999999999998E-2</c:v>
                </c:pt>
                <c:pt idx="4" formatCode="0%">
                  <c:v>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Sheet1!$D$4</c:f>
              <c:strCache>
                <c:ptCount val="1"/>
                <c:pt idx="0">
                  <c:v>FY13</c:v>
                </c:pt>
              </c:strCache>
            </c:strRef>
          </c:tx>
          <c:spPr>
            <a:solidFill>
              <a:srgbClr val="00B0F0"/>
            </a:solidFill>
            <a:ln>
              <a:solidFill>
                <a:schemeClr val="tx1"/>
              </a:solidFill>
            </a:ln>
          </c:spPr>
          <c:invertIfNegative val="0"/>
          <c:cat>
            <c:strRef>
              <c:f>Sheet1!$C$5:$C$9</c:f>
              <c:strCache>
                <c:ptCount val="5"/>
                <c:pt idx="0">
                  <c:v>Tuition</c:v>
                </c:pt>
                <c:pt idx="1">
                  <c:v>Auxiliary</c:v>
                </c:pt>
                <c:pt idx="2">
                  <c:v>General Ops</c:v>
                </c:pt>
                <c:pt idx="3">
                  <c:v>Federal Indirect</c:v>
                </c:pt>
                <c:pt idx="4">
                  <c:v>Other PR</c:v>
                </c:pt>
              </c:strCache>
            </c:strRef>
          </c:cat>
          <c:val>
            <c:numRef>
              <c:f>Sheet1!$D$5:$D$9</c:f>
              <c:numCache>
                <c:formatCode>0.0</c:formatCode>
                <c:ptCount val="5"/>
                <c:pt idx="0">
                  <c:v>143</c:v>
                </c:pt>
                <c:pt idx="1">
                  <c:v>78</c:v>
                </c:pt>
                <c:pt idx="2">
                  <c:v>67.8</c:v>
                </c:pt>
                <c:pt idx="3">
                  <c:v>107.8</c:v>
                </c:pt>
                <c:pt idx="4">
                  <c:v>23.1</c:v>
                </c:pt>
              </c:numCache>
            </c:numRef>
          </c:val>
        </c:ser>
        <c:ser>
          <c:idx val="1"/>
          <c:order val="1"/>
          <c:tx>
            <c:strRef>
              <c:f>Sheet1!$E$4</c:f>
              <c:strCache>
                <c:ptCount val="1"/>
                <c:pt idx="0">
                  <c:v>FY14</c:v>
                </c:pt>
              </c:strCache>
            </c:strRef>
          </c:tx>
          <c:spPr>
            <a:solidFill>
              <a:srgbClr val="FFFF00"/>
            </a:solidFill>
            <a:ln>
              <a:solidFill>
                <a:schemeClr val="tx1"/>
              </a:solidFill>
            </a:ln>
          </c:spPr>
          <c:invertIfNegative val="0"/>
          <c:cat>
            <c:strRef>
              <c:f>Sheet1!$C$5:$C$9</c:f>
              <c:strCache>
                <c:ptCount val="5"/>
                <c:pt idx="0">
                  <c:v>Tuition</c:v>
                </c:pt>
                <c:pt idx="1">
                  <c:v>Auxiliary</c:v>
                </c:pt>
                <c:pt idx="2">
                  <c:v>General Ops</c:v>
                </c:pt>
                <c:pt idx="3">
                  <c:v>Federal Indirect</c:v>
                </c:pt>
                <c:pt idx="4">
                  <c:v>Other PR</c:v>
                </c:pt>
              </c:strCache>
            </c:strRef>
          </c:cat>
          <c:val>
            <c:numRef>
              <c:f>Sheet1!$E$5:$E$9</c:f>
              <c:numCache>
                <c:formatCode>0.0</c:formatCode>
                <c:ptCount val="5"/>
                <c:pt idx="0">
                  <c:v>84.6</c:v>
                </c:pt>
                <c:pt idx="1">
                  <c:v>116.2</c:v>
                </c:pt>
                <c:pt idx="2">
                  <c:v>19.5</c:v>
                </c:pt>
                <c:pt idx="3">
                  <c:v>140</c:v>
                </c:pt>
                <c:pt idx="4">
                  <c:v>26.2</c:v>
                </c:pt>
              </c:numCache>
            </c:numRef>
          </c:val>
        </c:ser>
        <c:ser>
          <c:idx val="2"/>
          <c:order val="2"/>
          <c:tx>
            <c:strRef>
              <c:f>Sheet1!$F$4</c:f>
              <c:strCache>
                <c:ptCount val="1"/>
                <c:pt idx="0">
                  <c:v>FY15</c:v>
                </c:pt>
              </c:strCache>
            </c:strRef>
          </c:tx>
          <c:spPr>
            <a:solidFill>
              <a:schemeClr val="accent6">
                <a:lumMod val="75000"/>
              </a:schemeClr>
            </a:solidFill>
          </c:spPr>
          <c:invertIfNegative val="0"/>
          <c:cat>
            <c:strRef>
              <c:f>Sheet1!$C$5:$C$9</c:f>
              <c:strCache>
                <c:ptCount val="5"/>
                <c:pt idx="0">
                  <c:v>Tuition</c:v>
                </c:pt>
                <c:pt idx="1">
                  <c:v>Auxiliary</c:v>
                </c:pt>
                <c:pt idx="2">
                  <c:v>General Ops</c:v>
                </c:pt>
                <c:pt idx="3">
                  <c:v>Federal Indirect</c:v>
                </c:pt>
                <c:pt idx="4">
                  <c:v>Other PR</c:v>
                </c:pt>
              </c:strCache>
            </c:strRef>
          </c:cat>
          <c:val>
            <c:numRef>
              <c:f>Sheet1!$F$5:$F$9</c:f>
              <c:numCache>
                <c:formatCode>0.0</c:formatCode>
                <c:ptCount val="5"/>
                <c:pt idx="0">
                  <c:v>71.099999999999994</c:v>
                </c:pt>
                <c:pt idx="1">
                  <c:v>117</c:v>
                </c:pt>
                <c:pt idx="2">
                  <c:v>17.899999999999999</c:v>
                </c:pt>
                <c:pt idx="3">
                  <c:v>139.69999999999999</c:v>
                </c:pt>
                <c:pt idx="4">
                  <c:v>31.6</c:v>
                </c:pt>
              </c:numCache>
            </c:numRef>
          </c:val>
        </c:ser>
        <c:dLbls>
          <c:showLegendKey val="0"/>
          <c:showVal val="0"/>
          <c:showCatName val="0"/>
          <c:showSerName val="0"/>
          <c:showPercent val="0"/>
          <c:showBubbleSize val="0"/>
        </c:dLbls>
        <c:gapWidth val="150"/>
        <c:axId val="203664624"/>
        <c:axId val="203672176"/>
      </c:barChart>
      <c:catAx>
        <c:axId val="203664624"/>
        <c:scaling>
          <c:orientation val="minMax"/>
        </c:scaling>
        <c:delete val="0"/>
        <c:axPos val="b"/>
        <c:numFmt formatCode="General" sourceLinked="0"/>
        <c:majorTickMark val="out"/>
        <c:minorTickMark val="none"/>
        <c:tickLblPos val="nextTo"/>
        <c:crossAx val="203672176"/>
        <c:crosses val="autoZero"/>
        <c:auto val="1"/>
        <c:lblAlgn val="ctr"/>
        <c:lblOffset val="100"/>
        <c:noMultiLvlLbl val="0"/>
      </c:catAx>
      <c:valAx>
        <c:axId val="203672176"/>
        <c:scaling>
          <c:orientation val="minMax"/>
        </c:scaling>
        <c:delete val="0"/>
        <c:axPos val="l"/>
        <c:majorGridlines/>
        <c:numFmt formatCode="0.0" sourceLinked="1"/>
        <c:majorTickMark val="out"/>
        <c:minorTickMark val="none"/>
        <c:tickLblPos val="nextTo"/>
        <c:crossAx val="20366462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BLANK, REBECCA M</cp:lastModifiedBy>
  <cp:revision>2</cp:revision>
  <cp:lastPrinted>2015-09-24T22:13:00Z</cp:lastPrinted>
  <dcterms:created xsi:type="dcterms:W3CDTF">2015-10-05T19:50:00Z</dcterms:created>
  <dcterms:modified xsi:type="dcterms:W3CDTF">2015-10-05T19:50:00Z</dcterms:modified>
</cp:coreProperties>
</file>