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2008D7">
        <w:rPr>
          <w:sz w:val="24"/>
          <w:szCs w:val="24"/>
        </w:rPr>
        <w:t>Resolution Regarding Transgender Members of the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2008D7">
        <w:rPr>
          <w:sz w:val="24"/>
          <w:szCs w:val="24"/>
        </w:rPr>
        <w:t>656</w:t>
      </w:r>
    </w:p>
    <w:p w:rsidR="00147E1A" w:rsidRDefault="002008D7" w:rsidP="004D58B0">
      <w:pPr>
        <w:tabs>
          <w:tab w:val="left" w:pos="7920"/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UW-Madison Community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</w:t>
      </w:r>
      <w:r w:rsidR="002008D7">
        <w:rPr>
          <w:sz w:val="24"/>
          <w:szCs w:val="24"/>
        </w:rPr>
        <w:t>Scott Mellor (ASA #262) and Erin Carrillo (ASA #474)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2008D7">
        <w:rPr>
          <w:sz w:val="24"/>
          <w:szCs w:val="24"/>
        </w:rPr>
        <w:t>ASEC; Committee for GLTBQ People in the University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F10856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This</w:t>
      </w:r>
      <w:r w:rsidR="002008D7">
        <w:rPr>
          <w:sz w:val="24"/>
          <w:szCs w:val="24"/>
        </w:rPr>
        <w:t xml:space="preserve"> resolution is submitted to the Assembly in response to recent actions by the State of Wisconsin in regards to health insurance coverage for transgender</w:t>
      </w:r>
      <w:bookmarkStart w:id="0" w:name="_GoBack"/>
      <w:bookmarkEnd w:id="0"/>
      <w:r w:rsidR="002008D7">
        <w:rPr>
          <w:sz w:val="24"/>
          <w:szCs w:val="24"/>
        </w:rPr>
        <w:t xml:space="preserve"> employees.  The Group Insurance Board suspended coverage of health benefits and services based on gender identity on February 1, 2017.  </w:t>
      </w:r>
      <w:r w:rsidR="007476AB">
        <w:rPr>
          <w:sz w:val="24"/>
          <w:szCs w:val="24"/>
        </w:rPr>
        <w:t>This resolution affirms the support of the Assembly for all transgender employees on campus.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F10856" w:rsidRDefault="0009522C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09522C" w:rsidRDefault="0009522C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09522C" w:rsidRDefault="0009522C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Laurent Heller, Vice Chancellor for Finance and Administration</w:t>
      </w:r>
    </w:p>
    <w:p w:rsidR="0009522C" w:rsidRDefault="0009522C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Michael Bernard-Donals, Vice Provost for Faculty and Staff</w:t>
      </w:r>
    </w:p>
    <w:p w:rsidR="0009522C" w:rsidRDefault="0009522C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Wayne Guthrie, Office of Human Resources</w:t>
      </w:r>
    </w:p>
    <w:p w:rsidR="0009522C" w:rsidRDefault="0009522C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Mark Walter, Office of Human Resources</w:t>
      </w:r>
    </w:p>
    <w:p w:rsidR="007476AB" w:rsidRDefault="007476AB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Steve Smith, Secretary of the Faculty</w:t>
      </w:r>
    </w:p>
    <w:p w:rsidR="007476AB" w:rsidRDefault="007476AB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John Lease, Secretary of the University Staff</w:t>
      </w:r>
    </w:p>
    <w:p w:rsidR="007476AB" w:rsidRDefault="007476AB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Lori Berquam, Dean of Students</w:t>
      </w:r>
    </w:p>
    <w:p w:rsidR="007476AB" w:rsidRDefault="007476AB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Carmen Gosey, ASM</w:t>
      </w:r>
    </w:p>
    <w:p w:rsidR="007476AB" w:rsidRDefault="007476AB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Group Insurance Board, Employee Trust Funds</w:t>
      </w:r>
    </w:p>
    <w:p w:rsidR="007476AB" w:rsidRDefault="007476AB" w:rsidP="0009522C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163ADA">
        <w:rPr>
          <w:sz w:val="24"/>
          <w:szCs w:val="24"/>
        </w:rPr>
        <w:t xml:space="preserve"> </w:t>
      </w:r>
      <w:r w:rsidR="007476AB">
        <w:rPr>
          <w:sz w:val="24"/>
          <w:szCs w:val="24"/>
        </w:rPr>
        <w:t>supports the rights of transgender students, faculty and staff to enjoy all the benefits, privileges and protections offered to others at UW-Madison and supports the rights of transgender students, faculty and staff to seek the benefits of education at UW-Madison and work on campus with safety and dignity</w:t>
      </w:r>
      <w:r w:rsidR="002C39B6">
        <w:rPr>
          <w:sz w:val="24"/>
          <w:szCs w:val="24"/>
        </w:rPr>
        <w:t xml:space="preserve">.  </w:t>
      </w: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DB5DCC">
        <w:rPr>
          <w:sz w:val="24"/>
          <w:szCs w:val="24"/>
        </w:rPr>
        <w:t xml:space="preserve">your district does not </w:t>
      </w:r>
      <w:r w:rsidR="007476AB">
        <w:rPr>
          <w:sz w:val="24"/>
          <w:szCs w:val="24"/>
        </w:rPr>
        <w:t xml:space="preserve">support the rights of transgender students, faculty and staff to enjoy all the benefits, privileges and protections offered to others at UW-Madison and supports the rights of transgender students, faculty and staff to seek the benefits of education at UW-Madison and work on campus with safety and dignity.  </w:t>
      </w:r>
    </w:p>
    <w:p w:rsidR="007476AB" w:rsidRDefault="007476AB" w:rsidP="002C39B6">
      <w:pPr>
        <w:tabs>
          <w:tab w:val="center" w:pos="9000"/>
        </w:tabs>
        <w:rPr>
          <w:sz w:val="24"/>
          <w:szCs w:val="24"/>
        </w:rPr>
      </w:pPr>
    </w:p>
    <w:p w:rsidR="007476AB" w:rsidRDefault="007476AB" w:rsidP="002C39B6">
      <w:pPr>
        <w:tabs>
          <w:tab w:val="center" w:pos="9000"/>
        </w:tabs>
        <w:rPr>
          <w:sz w:val="24"/>
          <w:szCs w:val="24"/>
        </w:rPr>
      </w:pPr>
    </w:p>
    <w:p w:rsidR="007476AB" w:rsidRDefault="007476AB" w:rsidP="002C39B6">
      <w:pPr>
        <w:tabs>
          <w:tab w:val="center" w:pos="9000"/>
        </w:tabs>
        <w:rPr>
          <w:sz w:val="24"/>
          <w:szCs w:val="24"/>
        </w:rPr>
      </w:pPr>
    </w:p>
    <w:p w:rsidR="007476AB" w:rsidRDefault="007476AB" w:rsidP="002C39B6">
      <w:pPr>
        <w:tabs>
          <w:tab w:val="center" w:pos="9000"/>
        </w:tabs>
        <w:rPr>
          <w:sz w:val="24"/>
          <w:szCs w:val="24"/>
        </w:rPr>
      </w:pPr>
    </w:p>
    <w:p w:rsidR="007476AB" w:rsidRDefault="007476AB" w:rsidP="002C39B6">
      <w:pPr>
        <w:tabs>
          <w:tab w:val="center" w:pos="9000"/>
        </w:tabs>
        <w:rPr>
          <w:sz w:val="24"/>
          <w:szCs w:val="24"/>
        </w:rPr>
      </w:pPr>
    </w:p>
    <w:p w:rsidR="007476AB" w:rsidRDefault="007476AB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lastRenderedPageBreak/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 (</w:t>
      </w:r>
      <w:proofErr w:type="gramEnd"/>
      <w:r w:rsidR="00484684">
        <w:rPr>
          <w:sz w:val="24"/>
          <w:szCs w:val="24"/>
        </w:rPr>
        <w:t>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Default="002C39B6" w:rsidP="00083A02">
      <w:pPr>
        <w:tabs>
          <w:tab w:val="center" w:pos="8100"/>
        </w:tabs>
        <w:spacing w:after="0"/>
        <w:rPr>
          <w:sz w:val="24"/>
          <w:szCs w:val="24"/>
        </w:rPr>
      </w:pPr>
    </w:p>
    <w:sectPr w:rsidR="002C39B6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93A3D"/>
    <w:rsid w:val="0009522C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1D7525"/>
    <w:rsid w:val="002008D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C39B6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40299"/>
    <w:rsid w:val="00442763"/>
    <w:rsid w:val="00467A4B"/>
    <w:rsid w:val="00467DCB"/>
    <w:rsid w:val="00472829"/>
    <w:rsid w:val="00484684"/>
    <w:rsid w:val="00485B0A"/>
    <w:rsid w:val="0049433E"/>
    <w:rsid w:val="004B6188"/>
    <w:rsid w:val="004D1C03"/>
    <w:rsid w:val="004D58B0"/>
    <w:rsid w:val="004E3453"/>
    <w:rsid w:val="004F2BBA"/>
    <w:rsid w:val="00501888"/>
    <w:rsid w:val="00525BEF"/>
    <w:rsid w:val="00543375"/>
    <w:rsid w:val="0055561A"/>
    <w:rsid w:val="005B2115"/>
    <w:rsid w:val="005C343E"/>
    <w:rsid w:val="005C3470"/>
    <w:rsid w:val="005E2B45"/>
    <w:rsid w:val="005E3323"/>
    <w:rsid w:val="005E3BAF"/>
    <w:rsid w:val="005E7545"/>
    <w:rsid w:val="00600630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86721"/>
    <w:rsid w:val="007944F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B6EBE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A0ABA"/>
    <w:rsid w:val="009A1321"/>
    <w:rsid w:val="009C3696"/>
    <w:rsid w:val="009D1079"/>
    <w:rsid w:val="009F20F7"/>
    <w:rsid w:val="00A34451"/>
    <w:rsid w:val="00A52F2A"/>
    <w:rsid w:val="00A6672C"/>
    <w:rsid w:val="00AA17DD"/>
    <w:rsid w:val="00AA4F04"/>
    <w:rsid w:val="00AD0469"/>
    <w:rsid w:val="00B04B4A"/>
    <w:rsid w:val="00B052D9"/>
    <w:rsid w:val="00B26278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B18EC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53F00"/>
    <w:rsid w:val="00E72B9C"/>
    <w:rsid w:val="00E84F32"/>
    <w:rsid w:val="00EA39D9"/>
    <w:rsid w:val="00EB0C9E"/>
    <w:rsid w:val="00ED2C98"/>
    <w:rsid w:val="00ED6842"/>
    <w:rsid w:val="00F047E9"/>
    <w:rsid w:val="00F10856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SMITH, JACOB R</cp:lastModifiedBy>
  <cp:revision>3</cp:revision>
  <cp:lastPrinted>2017-03-02T18:50:00Z</cp:lastPrinted>
  <dcterms:created xsi:type="dcterms:W3CDTF">2017-04-26T22:08:00Z</dcterms:created>
  <dcterms:modified xsi:type="dcterms:W3CDTF">2017-04-26T22:14:00Z</dcterms:modified>
</cp:coreProperties>
</file>