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060" w:rsidRPr="00E202FC" w:rsidRDefault="00882060" w:rsidP="00882060">
      <w:pPr>
        <w:spacing w:after="0" w:line="240" w:lineRule="auto"/>
        <w:rPr>
          <w:rFonts w:cstheme="minorHAnsi"/>
        </w:rPr>
      </w:pPr>
      <w:r w:rsidRPr="00E202FC">
        <w:rPr>
          <w:rFonts w:cstheme="minorHAnsi"/>
          <w:b/>
          <w:sz w:val="24"/>
          <w:szCs w:val="24"/>
        </w:rPr>
        <w:t xml:space="preserve">APPENDIX A.  ADDITIONAL REQUIREMENTS </w:t>
      </w:r>
    </w:p>
    <w:p w:rsidR="00882060" w:rsidRPr="00F00D8D" w:rsidRDefault="00882060" w:rsidP="00882060">
      <w:pPr>
        <w:contextualSpacing/>
        <w:rPr>
          <w:rFonts w:cstheme="minorHAnsi"/>
          <w:b/>
          <w:sz w:val="24"/>
          <w:szCs w:val="24"/>
        </w:rPr>
      </w:pPr>
      <w:r w:rsidRPr="00F00D8D">
        <w:rPr>
          <w:rFonts w:cstheme="minorHAnsi"/>
          <w:b/>
          <w:sz w:val="24"/>
          <w:szCs w:val="24"/>
        </w:rPr>
        <w:t>FOR ACADEMIC PROGRAMS WITH NON-POOLED TUITION</w:t>
      </w:r>
    </w:p>
    <w:p w:rsidR="00882060" w:rsidRDefault="00882060" w:rsidP="00882060">
      <w:pPr>
        <w:pStyle w:val="ListParagraph"/>
        <w:ind w:left="0"/>
        <w:rPr>
          <w:rFonts w:cstheme="minorHAnsi"/>
          <w:b/>
        </w:rPr>
      </w:pPr>
      <w:r w:rsidRPr="000D50DF">
        <w:rPr>
          <w:rFonts w:cstheme="minorHAnsi"/>
          <w:b/>
        </w:rPr>
        <w:t>If core criteria are met, the program must adhere to the additional requirements</w:t>
      </w:r>
      <w:r>
        <w:rPr>
          <w:rFonts w:cstheme="minorHAnsi"/>
          <w:b/>
        </w:rPr>
        <w:t xml:space="preserve"> below.  </w:t>
      </w:r>
    </w:p>
    <w:p w:rsidR="00882060" w:rsidRDefault="00882060" w:rsidP="00882060">
      <w:pPr>
        <w:pStyle w:val="ListParagraph"/>
        <w:ind w:left="0"/>
        <w:rPr>
          <w:rFonts w:cstheme="minorHAnsi"/>
        </w:rPr>
      </w:pPr>
      <w:r w:rsidRPr="00722E27">
        <w:rPr>
          <w:rFonts w:cstheme="minorHAnsi"/>
        </w:rPr>
        <w:t xml:space="preserve">Note:  Not all new programs are suited for the </w:t>
      </w:r>
      <w:r>
        <w:rPr>
          <w:rFonts w:cstheme="minorHAnsi"/>
        </w:rPr>
        <w:t>non-pooled program</w:t>
      </w:r>
      <w:r w:rsidRPr="00722E27">
        <w:rPr>
          <w:rFonts w:cstheme="minorHAnsi"/>
        </w:rPr>
        <w:t xml:space="preserve"> requirements</w:t>
      </w:r>
      <w:r>
        <w:rPr>
          <w:rFonts w:cstheme="minorHAnsi"/>
        </w:rPr>
        <w:t>.  N</w:t>
      </w:r>
      <w:r w:rsidRPr="00722E27">
        <w:rPr>
          <w:rFonts w:cstheme="minorHAnsi"/>
        </w:rPr>
        <w:t>ew programs that seek to take advantage of a wide range of course and curricular</w:t>
      </w:r>
      <w:r>
        <w:rPr>
          <w:rFonts w:cstheme="minorHAnsi"/>
        </w:rPr>
        <w:t>/program</w:t>
      </w:r>
      <w:r w:rsidRPr="00722E27">
        <w:rPr>
          <w:rFonts w:cstheme="minorHAnsi"/>
        </w:rPr>
        <w:t xml:space="preserve"> offerings</w:t>
      </w:r>
      <w:r>
        <w:rPr>
          <w:rFonts w:cstheme="minorHAnsi"/>
        </w:rPr>
        <w:t xml:space="preserve"> on campus</w:t>
      </w:r>
      <w:r w:rsidRPr="00722E27">
        <w:rPr>
          <w:rFonts w:cstheme="minorHAnsi"/>
        </w:rPr>
        <w:t xml:space="preserve"> and are not market-oriented </w:t>
      </w:r>
      <w:r>
        <w:rPr>
          <w:rFonts w:cstheme="minorHAnsi"/>
        </w:rPr>
        <w:t>should</w:t>
      </w:r>
      <w:r w:rsidRPr="00722E27">
        <w:rPr>
          <w:rFonts w:cstheme="minorHAnsi"/>
        </w:rPr>
        <w:t xml:space="preserve"> be developed under traditional (101) </w:t>
      </w:r>
      <w:r>
        <w:rPr>
          <w:rFonts w:cstheme="minorHAnsi"/>
        </w:rPr>
        <w:t xml:space="preserve">pooled tuition </w:t>
      </w:r>
      <w:r w:rsidRPr="00722E27">
        <w:rPr>
          <w:rFonts w:cstheme="minorHAnsi"/>
        </w:rPr>
        <w:t xml:space="preserve">funding models. </w:t>
      </w:r>
    </w:p>
    <w:p w:rsidR="00882060" w:rsidRPr="0003126D" w:rsidRDefault="00882060" w:rsidP="00882060">
      <w:pPr>
        <w:pStyle w:val="ListParagraph"/>
        <w:ind w:left="0"/>
        <w:rPr>
          <w:rFonts w:cstheme="minorHAnsi"/>
        </w:rPr>
      </w:pPr>
    </w:p>
    <w:p w:rsidR="00882060" w:rsidRPr="0003126D" w:rsidRDefault="00882060" w:rsidP="00882060">
      <w:pPr>
        <w:pStyle w:val="ListParagraph"/>
        <w:numPr>
          <w:ilvl w:val="0"/>
          <w:numId w:val="2"/>
        </w:numPr>
        <w:rPr>
          <w:rFonts w:cstheme="minorHAnsi"/>
          <w:b/>
        </w:rPr>
      </w:pPr>
      <w:r>
        <w:rPr>
          <w:rFonts w:cstheme="minorHAnsi"/>
          <w:b/>
        </w:rPr>
        <w:t>Fiscal Requirements:</w:t>
      </w:r>
    </w:p>
    <w:p w:rsidR="00882060" w:rsidRPr="0029127D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916AE0">
        <w:rPr>
          <w:rFonts w:cstheme="minorHAnsi"/>
        </w:rPr>
        <w:t xml:space="preserve">School/college dean and budget officer are committed to assuming fiscal responsibility for costs not covered by non-pooled tuition to the program. </w:t>
      </w:r>
      <w:r>
        <w:rPr>
          <w:rFonts w:cstheme="minorHAnsi"/>
        </w:rPr>
        <w:t xml:space="preserve"> The school/college will back up the budget with a commitment to cover any costs not met from tuition from other sources. 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t>The program structure fits within standard academic administrative structures and allocates expenses of the program so that the program does not create additional burdens on traditional/101 program resources or student services such as advising, ESL, Registrar’s Office, Bursar’s Office, Graduate School and other support services.</w:t>
      </w:r>
    </w:p>
    <w:p w:rsidR="00882060" w:rsidRPr="0058020C" w:rsidRDefault="00882060" w:rsidP="0088206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Programs have two options for tuition.  One option is to </w:t>
      </w:r>
      <w:r w:rsidRPr="0058020C">
        <w:rPr>
          <w:rFonts w:cstheme="minorHAnsi"/>
        </w:rPr>
        <w:t xml:space="preserve">charge standard graduate tuition according to the UW-Madison tuition schedule.  This includes standard rates for WI resident, MN, and non-resident students and any compulsory fees that apply.  </w:t>
      </w:r>
      <w:r>
        <w:rPr>
          <w:rFonts w:cstheme="minorHAnsi"/>
        </w:rPr>
        <w:t xml:space="preserve">Or, for fully online programs or market-based tuition, they have the option of charging all students one tuition rate (Appendix D and Appendix E).   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Because students who have graduate assistantships receive tuition waivers, some non-pooled tuition graduate degree programs choose to prohibit students from accepting a graduate assistantship (RA/TA/PA).  If a program allows their students to take graduate assistantships they it must forgo the tuition revenue.  To ensure full receipt of non-pooled tuition and to counter challenges from students, the program must adhere to the following: 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The program faculty/staff must disclose this program policy to students in the recommendation of admission letter, program website, program handbook, and program orientation.  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Please see Appendix </w:t>
      </w:r>
      <w:r>
        <w:rPr>
          <w:rFonts w:cstheme="minorHAnsi"/>
        </w:rPr>
        <w:t>C</w:t>
      </w:r>
      <w:r w:rsidRPr="00081B81">
        <w:rPr>
          <w:rFonts w:cstheme="minorHAnsi"/>
        </w:rPr>
        <w:t xml:space="preserve"> for a sample of a specific non-pooled program template for a recommendation of admission letter and a general template for a program handbook.  The program faculty/staff must provide details on this and any other program policies the program handbook in at least the following areas:  satisfactory progress (good standing) requirements, any ways to return to good standing, and a program grievance process if done does not already exist.  </w:t>
      </w:r>
    </w:p>
    <w:p w:rsidR="00882060" w:rsidRDefault="00882060" w:rsidP="00882060">
      <w:pPr>
        <w:pStyle w:val="ListParagraph"/>
        <w:ind w:left="0"/>
        <w:rPr>
          <w:rFonts w:cstheme="minorHAnsi"/>
        </w:rPr>
      </w:pPr>
    </w:p>
    <w:p w:rsidR="00882060" w:rsidRPr="00216E6C" w:rsidRDefault="00882060" w:rsidP="00882060">
      <w:pPr>
        <w:pStyle w:val="ListParagraph"/>
        <w:ind w:left="0"/>
        <w:rPr>
          <w:rFonts w:cstheme="minorHAnsi"/>
        </w:rPr>
      </w:pPr>
      <w:r w:rsidRPr="00216E6C">
        <w:rPr>
          <w:rFonts w:cstheme="minorHAnsi"/>
        </w:rPr>
        <w:t xml:space="preserve">2. </w:t>
      </w:r>
      <w:r w:rsidRPr="00216E6C">
        <w:rPr>
          <w:rFonts w:cstheme="minorHAnsi"/>
          <w:b/>
        </w:rPr>
        <w:t>Requirements for International Students</w:t>
      </w:r>
      <w:r>
        <w:rPr>
          <w:rFonts w:cstheme="minorHAnsi"/>
          <w:b/>
        </w:rPr>
        <w:t>: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Programs may not admit students who need ESL services without building </w:t>
      </w:r>
      <w:proofErr w:type="gramStart"/>
      <w:r w:rsidRPr="00081B81">
        <w:rPr>
          <w:rFonts w:cstheme="minorHAnsi"/>
        </w:rPr>
        <w:t>sufficient</w:t>
      </w:r>
      <w:proofErr w:type="gramEnd"/>
      <w:r w:rsidRPr="00081B81">
        <w:rPr>
          <w:rFonts w:cstheme="minorHAnsi"/>
        </w:rPr>
        <w:t xml:space="preserve"> ESL support into their fiscal model and having an explicit MOU with the ESL provider about funding to support the ESL services.  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lastRenderedPageBreak/>
        <w:t xml:space="preserve">Graduate degree/major programs must use Graduate School standards for English Proficiency.   Capstone certificates should be designed so that admission requirements ensure that ESL support is not needed.  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t>If the program is NOT completely online and admits international students, the program is responsible for honoring federal visa regulations related but not limited to:  length of stay requirements for visa requests, online course restrictions for visa holders, and waiting for federal program approval (up to a year) if the program represents a new degree type or capstone certificate previously not offered at UW-Madison.</w:t>
      </w:r>
    </w:p>
    <w:p w:rsidR="00882060" w:rsidRPr="00081B81" w:rsidRDefault="00882060" w:rsidP="00882060">
      <w:pPr>
        <w:pStyle w:val="ListParagraph"/>
        <w:rPr>
          <w:rFonts w:cstheme="minorHAnsi"/>
          <w:highlight w:val="yellow"/>
        </w:rPr>
      </w:pPr>
    </w:p>
    <w:p w:rsidR="00882060" w:rsidRPr="00081B81" w:rsidRDefault="00882060" w:rsidP="00882060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081B81">
        <w:rPr>
          <w:rFonts w:cstheme="minorHAnsi"/>
          <w:b/>
        </w:rPr>
        <w:t>Requirements for Program/Course Enrollment:</w:t>
      </w:r>
    </w:p>
    <w:p w:rsidR="00882060" w:rsidRPr="00081B81" w:rsidRDefault="00882060" w:rsidP="00882060">
      <w:pPr>
        <w:pStyle w:val="ListParagraph"/>
        <w:numPr>
          <w:ilvl w:val="0"/>
          <w:numId w:val="4"/>
        </w:numPr>
        <w:rPr>
          <w:rFonts w:cstheme="minorHAnsi"/>
          <w:b/>
        </w:rPr>
      </w:pPr>
      <w:r w:rsidRPr="00081B81">
        <w:t xml:space="preserve">Non-pooled tuition program students can only be enrolled in one program at a time; enrollment in a second major, named option, certificate program, or courses beyond the prescribed program curriculum is not permitted.  </w:t>
      </w:r>
      <w:r w:rsidRPr="00081B81">
        <w:rPr>
          <w:rFonts w:cstheme="minorHAnsi"/>
        </w:rPr>
        <w:t xml:space="preserve">Non-compliance with this requirement will jeopardize the receipt of tuition for a non-pooled program.  </w:t>
      </w:r>
      <w:r>
        <w:t>Programs should conduct r</w:t>
      </w:r>
      <w:r w:rsidRPr="00081B81">
        <w:t>egular audits to ensure these requirements are met.</w:t>
      </w:r>
    </w:p>
    <w:p w:rsidR="00882060" w:rsidRPr="00081B81" w:rsidRDefault="00882060" w:rsidP="00882060">
      <w:pPr>
        <w:pStyle w:val="ListParagraph"/>
        <w:numPr>
          <w:ilvl w:val="0"/>
          <w:numId w:val="1"/>
        </w:numPr>
        <w:rPr>
          <w:rFonts w:cstheme="minorHAnsi"/>
        </w:rPr>
      </w:pPr>
      <w:r w:rsidRPr="00081B81">
        <w:rPr>
          <w:rFonts w:cstheme="minorHAnsi"/>
        </w:rPr>
        <w:t>To ensure full receipt of non-pooled program tuition and to counter challenges from students who want to be dually enrolled, the program must adhere to the following: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>The program must provide information to students about prohibitions on concurrent program enrollment and out-of-program course enrollment</w:t>
      </w:r>
      <w:r w:rsidRPr="00081B81">
        <w:t>.  Programs must note this in recruiting materials, in recommendations of admission, on the program website, program handbook, and program orientation.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Please see </w:t>
      </w:r>
      <w:r>
        <w:rPr>
          <w:rFonts w:cstheme="minorHAnsi"/>
        </w:rPr>
        <w:t>Appendix C</w:t>
      </w:r>
      <w:r w:rsidRPr="00081B81">
        <w:rPr>
          <w:rFonts w:cstheme="minorHAnsi"/>
        </w:rPr>
        <w:t xml:space="preserve"> for language for a specific non-pooled program template for a recommendation of admission letter and a general template for a program handbook.  The program faculty/staff must provide details on this and any other program pol</w:t>
      </w:r>
      <w:r>
        <w:rPr>
          <w:rFonts w:cstheme="minorHAnsi"/>
        </w:rPr>
        <w:t>icies in the program handbook</w:t>
      </w:r>
      <w:r w:rsidRPr="00081B81">
        <w:rPr>
          <w:rFonts w:cstheme="minorHAnsi"/>
        </w:rPr>
        <w:t xml:space="preserve"> in at least following areas:  satisfactory progress (good standing) requirements, ways to return to good standing, and a program grievance process if one does not already exist. 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 xml:space="preserve">The program communicates to students each semester prior to course enrollment the expectation that students can enroll only in program courses and not in courses outside the approved, prescribed curriculum.  </w:t>
      </w:r>
    </w:p>
    <w:p w:rsidR="00882060" w:rsidRPr="00081B81" w:rsidRDefault="00882060" w:rsidP="00882060">
      <w:pPr>
        <w:pStyle w:val="ListParagraph"/>
        <w:numPr>
          <w:ilvl w:val="1"/>
          <w:numId w:val="1"/>
        </w:numPr>
        <w:rPr>
          <w:rFonts w:cstheme="minorHAnsi"/>
        </w:rPr>
      </w:pPr>
      <w:r w:rsidRPr="00081B81">
        <w:rPr>
          <w:rFonts w:cstheme="minorHAnsi"/>
        </w:rPr>
        <w:t>For students who enroll in the non-pooled program and then decide they want to pursue traditional/101 programs that allow dual enrollment, the program must help the student</w:t>
      </w:r>
      <w:r>
        <w:rPr>
          <w:rFonts w:cstheme="minorHAnsi"/>
        </w:rPr>
        <w:t xml:space="preserve"> apply and transition</w:t>
      </w:r>
      <w:r w:rsidRPr="00081B81">
        <w:rPr>
          <w:rFonts w:cstheme="minorHAnsi"/>
        </w:rPr>
        <w:t xml:space="preserve"> to a different program(s) that allow such activity.   </w:t>
      </w:r>
    </w:p>
    <w:p w:rsidR="00882060" w:rsidRDefault="00882060" w:rsidP="00882060">
      <w:pPr>
        <w:spacing w:line="240" w:lineRule="auto"/>
      </w:pPr>
      <w:r>
        <w:br w:type="page"/>
      </w:r>
    </w:p>
    <w:p w:rsidR="004E3D21" w:rsidRDefault="004E3D21">
      <w:bookmarkStart w:id="0" w:name="_GoBack"/>
      <w:bookmarkEnd w:id="0"/>
    </w:p>
    <w:sectPr w:rsidR="004E3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05190"/>
    <w:multiLevelType w:val="hybridMultilevel"/>
    <w:tmpl w:val="4AAE4244"/>
    <w:lvl w:ilvl="0" w:tplc="AE243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E243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829E0"/>
    <w:multiLevelType w:val="hybridMultilevel"/>
    <w:tmpl w:val="12A45D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FC6930"/>
    <w:multiLevelType w:val="hybridMultilevel"/>
    <w:tmpl w:val="7472C410"/>
    <w:lvl w:ilvl="0" w:tplc="AE2430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AE2430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93FAD"/>
    <w:multiLevelType w:val="hybridMultilevel"/>
    <w:tmpl w:val="5728EB4A"/>
    <w:lvl w:ilvl="0" w:tplc="A2B2080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A48"/>
    <w:rsid w:val="00002A4B"/>
    <w:rsid w:val="00034275"/>
    <w:rsid w:val="00055EB4"/>
    <w:rsid w:val="0005616F"/>
    <w:rsid w:val="00057027"/>
    <w:rsid w:val="000830AD"/>
    <w:rsid w:val="00097667"/>
    <w:rsid w:val="000A5D79"/>
    <w:rsid w:val="000E5A0A"/>
    <w:rsid w:val="000F47C0"/>
    <w:rsid w:val="00102D09"/>
    <w:rsid w:val="001119D8"/>
    <w:rsid w:val="001805F5"/>
    <w:rsid w:val="00183B43"/>
    <w:rsid w:val="00192DE4"/>
    <w:rsid w:val="001A4BF0"/>
    <w:rsid w:val="001A4F06"/>
    <w:rsid w:val="00201E64"/>
    <w:rsid w:val="00241319"/>
    <w:rsid w:val="00254BCD"/>
    <w:rsid w:val="00254F29"/>
    <w:rsid w:val="002666AC"/>
    <w:rsid w:val="002759FE"/>
    <w:rsid w:val="0029052B"/>
    <w:rsid w:val="00296B2D"/>
    <w:rsid w:val="002C28E6"/>
    <w:rsid w:val="002D2F75"/>
    <w:rsid w:val="002F4F9B"/>
    <w:rsid w:val="00306AEF"/>
    <w:rsid w:val="00311DF0"/>
    <w:rsid w:val="003211F5"/>
    <w:rsid w:val="003513F3"/>
    <w:rsid w:val="00365B17"/>
    <w:rsid w:val="003943DB"/>
    <w:rsid w:val="003B498A"/>
    <w:rsid w:val="003C3B86"/>
    <w:rsid w:val="003C5F18"/>
    <w:rsid w:val="00424176"/>
    <w:rsid w:val="00425B6E"/>
    <w:rsid w:val="00444CB2"/>
    <w:rsid w:val="00445AD3"/>
    <w:rsid w:val="004471E4"/>
    <w:rsid w:val="00455CE1"/>
    <w:rsid w:val="004808BB"/>
    <w:rsid w:val="00490434"/>
    <w:rsid w:val="004C7646"/>
    <w:rsid w:val="004D554F"/>
    <w:rsid w:val="004E3D21"/>
    <w:rsid w:val="004F7027"/>
    <w:rsid w:val="00590B17"/>
    <w:rsid w:val="005A5ABD"/>
    <w:rsid w:val="005C6173"/>
    <w:rsid w:val="005D359F"/>
    <w:rsid w:val="005E7991"/>
    <w:rsid w:val="006133F1"/>
    <w:rsid w:val="00643ECE"/>
    <w:rsid w:val="00653A0C"/>
    <w:rsid w:val="0067306A"/>
    <w:rsid w:val="00681BFC"/>
    <w:rsid w:val="00691FFF"/>
    <w:rsid w:val="006A2977"/>
    <w:rsid w:val="006A6731"/>
    <w:rsid w:val="006A783C"/>
    <w:rsid w:val="006E58EE"/>
    <w:rsid w:val="006F5348"/>
    <w:rsid w:val="00710BF2"/>
    <w:rsid w:val="00720388"/>
    <w:rsid w:val="00760EC4"/>
    <w:rsid w:val="00780BC2"/>
    <w:rsid w:val="0078562D"/>
    <w:rsid w:val="00790292"/>
    <w:rsid w:val="007A483F"/>
    <w:rsid w:val="007B5015"/>
    <w:rsid w:val="007D0E7B"/>
    <w:rsid w:val="007E646D"/>
    <w:rsid w:val="007F208F"/>
    <w:rsid w:val="007F4DC1"/>
    <w:rsid w:val="00824C6E"/>
    <w:rsid w:val="00824CA9"/>
    <w:rsid w:val="00825DCE"/>
    <w:rsid w:val="00860A48"/>
    <w:rsid w:val="00872A48"/>
    <w:rsid w:val="00875454"/>
    <w:rsid w:val="00882060"/>
    <w:rsid w:val="0088798D"/>
    <w:rsid w:val="00895A50"/>
    <w:rsid w:val="008A212B"/>
    <w:rsid w:val="008B40E6"/>
    <w:rsid w:val="008D06EF"/>
    <w:rsid w:val="008E1D84"/>
    <w:rsid w:val="00947C94"/>
    <w:rsid w:val="0098549C"/>
    <w:rsid w:val="00987934"/>
    <w:rsid w:val="009A65CA"/>
    <w:rsid w:val="009C0C09"/>
    <w:rsid w:val="009C4565"/>
    <w:rsid w:val="009C6A0B"/>
    <w:rsid w:val="009C76D8"/>
    <w:rsid w:val="00A43D33"/>
    <w:rsid w:val="00A4610C"/>
    <w:rsid w:val="00A47E00"/>
    <w:rsid w:val="00A51502"/>
    <w:rsid w:val="00A81761"/>
    <w:rsid w:val="00AB4A8E"/>
    <w:rsid w:val="00AE72DA"/>
    <w:rsid w:val="00B03CAD"/>
    <w:rsid w:val="00B166AD"/>
    <w:rsid w:val="00B25715"/>
    <w:rsid w:val="00B31EA3"/>
    <w:rsid w:val="00B35846"/>
    <w:rsid w:val="00B50F7A"/>
    <w:rsid w:val="00B7009D"/>
    <w:rsid w:val="00B70D1F"/>
    <w:rsid w:val="00B908F2"/>
    <w:rsid w:val="00BC3A79"/>
    <w:rsid w:val="00BC6223"/>
    <w:rsid w:val="00BD150B"/>
    <w:rsid w:val="00BE469E"/>
    <w:rsid w:val="00C05785"/>
    <w:rsid w:val="00C2359C"/>
    <w:rsid w:val="00C310F8"/>
    <w:rsid w:val="00C40E3D"/>
    <w:rsid w:val="00C571ED"/>
    <w:rsid w:val="00C707B1"/>
    <w:rsid w:val="00C72665"/>
    <w:rsid w:val="00CA1007"/>
    <w:rsid w:val="00CA2614"/>
    <w:rsid w:val="00CC60C3"/>
    <w:rsid w:val="00D16FBA"/>
    <w:rsid w:val="00D5232C"/>
    <w:rsid w:val="00D7005F"/>
    <w:rsid w:val="00DC25F1"/>
    <w:rsid w:val="00DC4707"/>
    <w:rsid w:val="00DC4A1C"/>
    <w:rsid w:val="00DE108E"/>
    <w:rsid w:val="00DE3EAD"/>
    <w:rsid w:val="00E00E9B"/>
    <w:rsid w:val="00E2504C"/>
    <w:rsid w:val="00E43D76"/>
    <w:rsid w:val="00E46601"/>
    <w:rsid w:val="00E61195"/>
    <w:rsid w:val="00E7045A"/>
    <w:rsid w:val="00E71DE5"/>
    <w:rsid w:val="00E76CEF"/>
    <w:rsid w:val="00E866EF"/>
    <w:rsid w:val="00E918AA"/>
    <w:rsid w:val="00E9370F"/>
    <w:rsid w:val="00E946C5"/>
    <w:rsid w:val="00EB4BD8"/>
    <w:rsid w:val="00EC1179"/>
    <w:rsid w:val="00EF3A2E"/>
    <w:rsid w:val="00F048FC"/>
    <w:rsid w:val="00F404F0"/>
    <w:rsid w:val="00F73E94"/>
    <w:rsid w:val="00F938D0"/>
    <w:rsid w:val="00FA283E"/>
    <w:rsid w:val="00FC1485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8CD93"/>
  <w15:chartTrackingRefBased/>
  <w15:docId w15:val="{AB1D851D-B997-4B5E-AF18-A2F8D5A9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06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820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Wiessinger</dc:creator>
  <cp:keywords/>
  <dc:description/>
  <cp:lastModifiedBy>Nicole Wiessinger</cp:lastModifiedBy>
  <cp:revision>1</cp:revision>
  <dcterms:created xsi:type="dcterms:W3CDTF">2019-06-19T16:55:00Z</dcterms:created>
  <dcterms:modified xsi:type="dcterms:W3CDTF">2019-06-19T20:29:00Z</dcterms:modified>
</cp:coreProperties>
</file>